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E5" w:rsidRDefault="00C56FD3" w:rsidP="00E23DE5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С 11 апреля</w:t>
      </w:r>
      <w:r w:rsidR="008F6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 года</w:t>
      </w: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 исключением </w:t>
      </w:r>
      <w:r w:rsidR="00E23DE5">
        <w:rPr>
          <w:rFonts w:ascii="Times New Roman" w:eastAsia="Times New Roman" w:hAnsi="Times New Roman" w:cs="Times New Roman"/>
          <w:color w:val="000000"/>
          <w:sz w:val="26"/>
          <w:szCs w:val="26"/>
        </w:rPr>
        <w:t>некоторых положений, вступает в с</w:t>
      </w: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илу</w:t>
      </w:r>
      <w:r w:rsidRPr="00C56FD3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5" w:tgtFrame="_blank" w:history="1">
        <w:r w:rsidRPr="00E23DE5">
          <w:rPr>
            <w:rFonts w:ascii="Times New Roman" w:eastAsia="Times New Roman" w:hAnsi="Times New Roman" w:cs="Times New Roman"/>
            <w:color w:val="0168B9"/>
            <w:sz w:val="26"/>
            <w:szCs w:val="26"/>
            <w:u w:val="single"/>
          </w:rPr>
          <w:t xml:space="preserve">постановление Правительства </w:t>
        </w:r>
        <w:proofErr w:type="gramStart"/>
        <w:r w:rsidRPr="00E23DE5">
          <w:rPr>
            <w:rFonts w:ascii="Times New Roman" w:eastAsia="Times New Roman" w:hAnsi="Times New Roman" w:cs="Times New Roman"/>
            <w:color w:val="0168B9"/>
            <w:sz w:val="26"/>
            <w:szCs w:val="26"/>
            <w:u w:val="single"/>
          </w:rPr>
          <w:t>РФ</w:t>
        </w:r>
        <w:proofErr w:type="gramEnd"/>
        <w:r w:rsidRPr="00E23DE5">
          <w:rPr>
            <w:rFonts w:ascii="Times New Roman" w:eastAsia="Times New Roman" w:hAnsi="Times New Roman" w:cs="Times New Roman"/>
            <w:color w:val="0168B9"/>
            <w:sz w:val="26"/>
            <w:szCs w:val="26"/>
            <w:u w:val="single"/>
          </w:rPr>
          <w:t xml:space="preserve"> от 27.03.2018 № 331</w:t>
        </w:r>
      </w:hyperlink>
      <w:r w:rsidRPr="00E23D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8F651B">
        <w:rPr>
          <w:rFonts w:ascii="Times New Roman" w:eastAsia="Times New Roman" w:hAnsi="Times New Roman" w:cs="Times New Roman"/>
          <w:color w:val="000000"/>
          <w:sz w:val="26"/>
          <w:szCs w:val="26"/>
        </w:rPr>
        <w:t>Оно объясняет</w:t>
      </w: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какую</w:t>
      </w:r>
      <w:proofErr w:type="gramEnd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информацию и где на постоянной основе должны раск</w:t>
      </w:r>
      <w:r w:rsidR="0011495A">
        <w:rPr>
          <w:rFonts w:ascii="Times New Roman" w:eastAsia="Times New Roman" w:hAnsi="Times New Roman" w:cs="Times New Roman"/>
          <w:color w:val="000000"/>
          <w:sz w:val="26"/>
          <w:szCs w:val="26"/>
        </w:rPr>
        <w:t>рывать управляющие организации (</w:t>
      </w:r>
      <w:proofErr w:type="spellStart"/>
      <w:r w:rsidR="0011495A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далее-УО</w:t>
      </w:r>
      <w:proofErr w:type="spellEnd"/>
      <w:r w:rsidR="0011495A">
        <w:rPr>
          <w:rFonts w:ascii="Times New Roman" w:eastAsia="Times New Roman" w:hAnsi="Times New Roman" w:cs="Times New Roman"/>
          <w:color w:val="000000"/>
          <w:sz w:val="26"/>
          <w:szCs w:val="26"/>
        </w:rPr>
        <w:t>), какими могут быть осмотры общего имущества.</w:t>
      </w:r>
    </w:p>
    <w:p w:rsidR="0011495A" w:rsidRDefault="0011495A" w:rsidP="00E23DE5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23DE5" w:rsidRPr="0011495A" w:rsidRDefault="0011495A" w:rsidP="00E23DE5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149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Управляющие организации должны раскрывать информацию н</w:t>
      </w:r>
      <w:r w:rsidR="00C56FD3" w:rsidRPr="001149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 вывесках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E23DE5" w:rsidRDefault="00E23DE5" w:rsidP="00E23DE5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6FD3" w:rsidRPr="00E23DE5" w:rsidRDefault="00C56FD3" w:rsidP="00E23DE5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Вывески располагаются у входа в представительство управляющей организации. На них УО пишет свои:</w:t>
      </w:r>
    </w:p>
    <w:p w:rsidR="00C56FD3" w:rsidRPr="00C56FD3" w:rsidRDefault="00C56FD3" w:rsidP="00E23DE5">
      <w:pPr>
        <w:numPr>
          <w:ilvl w:val="0"/>
          <w:numId w:val="3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или фирменное наименование,</w:t>
      </w:r>
    </w:p>
    <w:p w:rsidR="00C56FD3" w:rsidRPr="00C56FD3" w:rsidRDefault="00C56FD3" w:rsidP="00E23DE5">
      <w:pPr>
        <w:numPr>
          <w:ilvl w:val="0"/>
          <w:numId w:val="3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местонахождения,</w:t>
      </w:r>
    </w:p>
    <w:p w:rsidR="00C56FD3" w:rsidRPr="00C56FD3" w:rsidRDefault="00C56FD3" w:rsidP="00E23DE5">
      <w:pPr>
        <w:numPr>
          <w:ilvl w:val="0"/>
          <w:numId w:val="3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контактные телефоны и адрес электронной почты,</w:t>
      </w:r>
    </w:p>
    <w:p w:rsidR="00C56FD3" w:rsidRPr="00C56FD3" w:rsidRDefault="00C56FD3" w:rsidP="00E23DE5">
      <w:pPr>
        <w:numPr>
          <w:ilvl w:val="0"/>
          <w:numId w:val="3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режим работы.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информация изменяется, её нужно успеть обновить в течение 3 рабочих дней со дня изменения.</w:t>
      </w:r>
    </w:p>
    <w:p w:rsidR="00C56FD3" w:rsidRPr="0011495A" w:rsidRDefault="00C56FD3" w:rsidP="00E23DE5">
      <w:pPr>
        <w:shd w:val="clear" w:color="auto" w:fill="FFFFFF"/>
        <w:spacing w:before="258" w:after="258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149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досках объявлений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Доски объявлений – привычное явление для управляющих организаций. Они размещаются во всех подъездах многоквартирного дома, которым управляет УО, или в пределах земельного участка, на котором стоит дом.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досках объявлений жители дома должны найти наименование управляющей организации, номер лицензии и срок её действия, сведения об органе, который выдал лицензию, адрес местонахождения УО и её представительства, режим работы, дни и часы приёма, адрес сайта УО, ссылку на сайт </w:t>
      </w:r>
      <w:r w:rsidR="0011495A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 системы жилищно-коммунального хозяйства (дале</w:t>
      </w:r>
      <w:proofErr w:type="gramStart"/>
      <w:r w:rsidR="0011495A">
        <w:rPr>
          <w:rFonts w:ascii="Times New Roman" w:eastAsia="Times New Roman" w:hAnsi="Times New Roman" w:cs="Times New Roman"/>
          <w:color w:val="000000"/>
          <w:sz w:val="26"/>
          <w:szCs w:val="26"/>
        </w:rPr>
        <w:t>е-</w:t>
      </w:r>
      <w:proofErr w:type="gramEnd"/>
      <w:r w:rsidR="001149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ГИС ЖКХ</w:t>
      </w:r>
      <w:r w:rsidR="0011495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 разме</w:t>
      </w:r>
      <w:r w:rsidR="00E23D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щается </w:t>
      </w: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досках объявлений следующие контактные телефоны:</w:t>
      </w:r>
    </w:p>
    <w:p w:rsidR="00C56FD3" w:rsidRPr="00C56FD3" w:rsidRDefault="00C56FD3" w:rsidP="00E23DE5">
      <w:pPr>
        <w:numPr>
          <w:ilvl w:val="0"/>
          <w:numId w:val="4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вашей организации,</w:t>
      </w:r>
    </w:p>
    <w:p w:rsidR="00C56FD3" w:rsidRPr="00C56FD3" w:rsidRDefault="00C56FD3" w:rsidP="00E23DE5">
      <w:pPr>
        <w:numPr>
          <w:ilvl w:val="0"/>
          <w:numId w:val="4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вашего представительства,</w:t>
      </w:r>
    </w:p>
    <w:p w:rsidR="00C56FD3" w:rsidRPr="00C56FD3" w:rsidRDefault="00C56FD3" w:rsidP="00E23DE5">
      <w:pPr>
        <w:numPr>
          <w:ilvl w:val="0"/>
          <w:numId w:val="4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аварийно-диспетчерской службы,</w:t>
      </w:r>
    </w:p>
    <w:p w:rsidR="00C56FD3" w:rsidRPr="00C56FD3" w:rsidRDefault="00C56FD3" w:rsidP="00E23DE5">
      <w:pPr>
        <w:numPr>
          <w:ilvl w:val="0"/>
          <w:numId w:val="4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аварийных служб </w:t>
      </w:r>
      <w:proofErr w:type="spellStart"/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ресурсоснабжающих</w:t>
      </w:r>
      <w:proofErr w:type="spellEnd"/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организаций.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Обновляется перечисленная выше информация в течение 3 рабочих дней со дня изменения.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На досках объявлений не </w:t>
      </w:r>
      <w:proofErr w:type="gramStart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за 3 рабочих дня до дня осуществления соответствующих мероприятий нужно вывешивать уведомления о предстоящих работах, проверках оборудования, восстановительных  и других работах, которые могут принести неудобство жителям дома или в рамках которых жители дома должны присутствовать в определённое время.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Здесь же вывешиваются уведомления об изменении размера платы. Раскрывать её нужно не </w:t>
      </w:r>
      <w:proofErr w:type="gramStart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за 30 календарных дней до дня представления жителям дома квитанций, если другой срок информирования не устанавливает договор управления МКД.</w:t>
      </w:r>
    </w:p>
    <w:p w:rsidR="00C56FD3" w:rsidRPr="0011495A" w:rsidRDefault="00C56FD3" w:rsidP="00E23DE5">
      <w:pPr>
        <w:shd w:val="clear" w:color="auto" w:fill="FFFFFF"/>
        <w:spacing w:before="258" w:after="258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149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информационных стендах в представительстве УО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Информация, которая размещается на стендах или стойках в представительстве управляющей организации, несколько отличается от той, что уже представлена на досках объявлений и вывесках.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вначале это всё </w:t>
      </w:r>
      <w:proofErr w:type="gramStart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proofErr w:type="gramEnd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же стандартные сведения:</w:t>
      </w:r>
    </w:p>
    <w:p w:rsidR="00C56FD3" w:rsidRPr="00C56FD3" w:rsidRDefault="00C56FD3" w:rsidP="00E23DE5">
      <w:pPr>
        <w:numPr>
          <w:ilvl w:val="0"/>
          <w:numId w:val="5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УО,</w:t>
      </w:r>
    </w:p>
    <w:p w:rsidR="00C56FD3" w:rsidRPr="00C56FD3" w:rsidRDefault="00C56FD3" w:rsidP="00E23DE5">
      <w:pPr>
        <w:numPr>
          <w:ilvl w:val="0"/>
          <w:numId w:val="5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лицензии и срок её действия,</w:t>
      </w:r>
    </w:p>
    <w:p w:rsidR="00C56FD3" w:rsidRPr="00C56FD3" w:rsidRDefault="00C56FD3" w:rsidP="00E23DE5">
      <w:pPr>
        <w:numPr>
          <w:ilvl w:val="0"/>
          <w:numId w:val="5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об органе, который выдал лицензию,</w:t>
      </w:r>
    </w:p>
    <w:p w:rsidR="00C56FD3" w:rsidRPr="00C56FD3" w:rsidRDefault="00C56FD3" w:rsidP="00E23DE5">
      <w:pPr>
        <w:numPr>
          <w:ilvl w:val="0"/>
          <w:numId w:val="5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местонахождения УО и её представительства,</w:t>
      </w:r>
    </w:p>
    <w:p w:rsidR="00C56FD3" w:rsidRPr="00C56FD3" w:rsidRDefault="00C56FD3" w:rsidP="00E23DE5">
      <w:pPr>
        <w:numPr>
          <w:ilvl w:val="0"/>
          <w:numId w:val="5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режим работы,</w:t>
      </w:r>
    </w:p>
    <w:p w:rsidR="00C56FD3" w:rsidRPr="00C56FD3" w:rsidRDefault="00C56FD3" w:rsidP="00E23DE5">
      <w:pPr>
        <w:numPr>
          <w:ilvl w:val="0"/>
          <w:numId w:val="5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дни и часы приёма,</w:t>
      </w:r>
    </w:p>
    <w:p w:rsidR="00C56FD3" w:rsidRPr="00C56FD3" w:rsidRDefault="00C56FD3" w:rsidP="00E23DE5">
      <w:pPr>
        <w:numPr>
          <w:ilvl w:val="0"/>
          <w:numId w:val="5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сайта УО,</w:t>
      </w:r>
    </w:p>
    <w:p w:rsidR="00C56FD3" w:rsidRPr="00C56FD3" w:rsidRDefault="00C56FD3" w:rsidP="00E23DE5">
      <w:pPr>
        <w:numPr>
          <w:ilvl w:val="0"/>
          <w:numId w:val="5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сайта ГИС ЖКХ,</w:t>
      </w:r>
    </w:p>
    <w:p w:rsidR="00C56FD3" w:rsidRPr="00C56FD3" w:rsidRDefault="00C56FD3" w:rsidP="00E23DE5">
      <w:pPr>
        <w:numPr>
          <w:ilvl w:val="0"/>
          <w:numId w:val="5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контактные телефоны УО и представительства, АДС и аварийных служб </w:t>
      </w:r>
      <w:proofErr w:type="spellStart"/>
      <w:r w:rsidR="006C1342">
        <w:rPr>
          <w:rFonts w:ascii="Times New Roman" w:eastAsia="Times New Roman" w:hAnsi="Times New Roman" w:cs="Times New Roman"/>
          <w:color w:val="000000"/>
          <w:sz w:val="27"/>
          <w:szCs w:val="27"/>
        </w:rPr>
        <w:t>ресурсоснабжающих</w:t>
      </w:r>
      <w:proofErr w:type="spellEnd"/>
      <w:r w:rsidR="006C13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организаций</w:t>
      </w: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этого на стендах размещается пошаговая инструкция о порядке установки ИПУ, сроки внесения платы за жилое помещение или коммунальные услуги, данные о последствиях несвоевременного или неполного внесения такой платы, сроки передачи показаний ПУ.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На стенде должна быть информация об органе ГЖН: функции, наименование, адрес и телефон, ФИО руководителя.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Кроме того размещаются сведения о тарифах, применяемых при определении размера платы за жилое помещение или КУ, реквизиты НПА и решений ОСС, которыми они установлены.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Публикуются нормативы потребления коммунальных услуг и нормативы потребления коммунальных ресурсов в целях содержания ОИ в МКД, величина установленной социальной нормы потребления электрической энергии для групп домохозяйств и типов жилых помещений.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На стенде вывешиваются памятка о правилах безопасного использования газа в быту, напоминание для потребителей об их обязанности заключить договор о техническом обслуживании и ремонте внутриквартирного газового оборудования. Ещё одна памятка, которую нужно разместить – о составе ежемесячной платы за жилое помещение и КУ с телефонами ответственных лиц.</w:t>
      </w:r>
    </w:p>
    <w:p w:rsidR="00C56FD3" w:rsidRPr="00E23DE5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3DE5">
        <w:rPr>
          <w:rFonts w:ascii="Times New Roman" w:eastAsia="Times New Roman" w:hAnsi="Times New Roman" w:cs="Times New Roman"/>
          <w:color w:val="000000"/>
          <w:sz w:val="26"/>
          <w:szCs w:val="26"/>
        </w:rPr>
        <w:t>Помимо перечисленных сведений на информационных стендах должны быть:</w:t>
      </w:r>
    </w:p>
    <w:p w:rsidR="00C56FD3" w:rsidRPr="00E23DE5" w:rsidRDefault="00C56FD3" w:rsidP="00E23DE5">
      <w:pPr>
        <w:numPr>
          <w:ilvl w:val="0"/>
          <w:numId w:val="6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3DE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образцы заполнения заявок, жалоб, обращений;</w:t>
      </w:r>
    </w:p>
    <w:p w:rsidR="00C56FD3" w:rsidRPr="00E23DE5" w:rsidRDefault="00C56FD3" w:rsidP="00E23DE5">
      <w:pPr>
        <w:numPr>
          <w:ilvl w:val="0"/>
          <w:numId w:val="6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3DE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предложения УО по работам и услугам;</w:t>
      </w:r>
    </w:p>
    <w:p w:rsidR="00C56FD3" w:rsidRPr="00E23DE5" w:rsidRDefault="00C56FD3" w:rsidP="00E23DE5">
      <w:pPr>
        <w:numPr>
          <w:ilvl w:val="0"/>
          <w:numId w:val="6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3DE5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 о местах накопления отходов, сбора отходов I–IV классов опасности;</w:t>
      </w:r>
    </w:p>
    <w:p w:rsidR="00C56FD3" w:rsidRPr="00E23DE5" w:rsidRDefault="00C56FD3" w:rsidP="00E23DE5">
      <w:pPr>
        <w:numPr>
          <w:ilvl w:val="0"/>
          <w:numId w:val="6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3DE5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обращения с отходами I–IV классов опасности;</w:t>
      </w:r>
    </w:p>
    <w:p w:rsidR="00C56FD3" w:rsidRPr="00E23DE5" w:rsidRDefault="00C56FD3" w:rsidP="00E23DE5">
      <w:pPr>
        <w:numPr>
          <w:ilvl w:val="0"/>
          <w:numId w:val="6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3DE5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раздельного сбора мусора;</w:t>
      </w:r>
    </w:p>
    <w:p w:rsidR="00C56FD3" w:rsidRPr="00E23DE5" w:rsidRDefault="00C56FD3" w:rsidP="00E23DE5">
      <w:pPr>
        <w:numPr>
          <w:ilvl w:val="0"/>
          <w:numId w:val="6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3DE5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безопасного использования ртутьсодержащих ламп и приборов.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Вся перечисленная выше информация обновляется в течение 3 рабочих дней со дня изменения.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proofErr w:type="gramStart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за 30 календарных дней до дня представления жителям дома квитанций за жилое помещение или КУ на стендах размещаются уведомления об изменении размера платы за жилое помещение или КУ.</w:t>
      </w:r>
    </w:p>
    <w:p w:rsidR="00C56FD3" w:rsidRPr="006C1342" w:rsidRDefault="00C56FD3" w:rsidP="00E23DE5">
      <w:pPr>
        <w:shd w:val="clear" w:color="auto" w:fill="FFFFFF"/>
        <w:spacing w:before="258" w:after="258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C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ГИС ЖКХ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И остаётся ГИС ЖКХ. Здесь управляющие организации также должны регулярно размещать информацию о своей деятельности. Напомним, с 1 января 2018 года заполнение ГИС ЖКХ – лицензионное требование для большинства управляющих организаций.</w:t>
      </w:r>
    </w:p>
    <w:p w:rsidR="00C56FD3" w:rsidRPr="00A15215" w:rsidRDefault="00C56FD3" w:rsidP="00E23DE5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 февраля вступил в силу</w:t>
      </w:r>
      <w:r w:rsidRPr="00C56FD3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6" w:tgtFrame="_blank" w:history="1">
        <w:r w:rsidRPr="00A15215">
          <w:rPr>
            <w:rFonts w:ascii="Times New Roman" w:eastAsia="Times New Roman" w:hAnsi="Times New Roman" w:cs="Times New Roman"/>
            <w:color w:val="0168B9"/>
            <w:sz w:val="26"/>
            <w:szCs w:val="26"/>
            <w:u w:val="single"/>
          </w:rPr>
          <w:t xml:space="preserve">приказ </w:t>
        </w:r>
        <w:proofErr w:type="spellStart"/>
        <w:r w:rsidRPr="00A15215">
          <w:rPr>
            <w:rFonts w:ascii="Times New Roman" w:eastAsia="Times New Roman" w:hAnsi="Times New Roman" w:cs="Times New Roman"/>
            <w:color w:val="0168B9"/>
            <w:sz w:val="26"/>
            <w:szCs w:val="26"/>
            <w:u w:val="single"/>
          </w:rPr>
          <w:t>Минкомсвязи</w:t>
        </w:r>
        <w:proofErr w:type="spellEnd"/>
        <w:r w:rsidRPr="00A15215">
          <w:rPr>
            <w:rFonts w:ascii="Times New Roman" w:eastAsia="Times New Roman" w:hAnsi="Times New Roman" w:cs="Times New Roman"/>
            <w:color w:val="0168B9"/>
            <w:sz w:val="26"/>
            <w:szCs w:val="26"/>
            <w:u w:val="single"/>
          </w:rPr>
          <w:t xml:space="preserve"> РФ и Минстроя РФ от 16.10.2017 № 550/1434/</w:t>
        </w:r>
        <w:proofErr w:type="spellStart"/>
        <w:proofErr w:type="gramStart"/>
        <w:r w:rsidRPr="00A15215">
          <w:rPr>
            <w:rFonts w:ascii="Times New Roman" w:eastAsia="Times New Roman" w:hAnsi="Times New Roman" w:cs="Times New Roman"/>
            <w:color w:val="0168B9"/>
            <w:sz w:val="26"/>
            <w:szCs w:val="26"/>
            <w:u w:val="single"/>
          </w:rPr>
          <w:t>пр</w:t>
        </w:r>
        <w:proofErr w:type="spellEnd"/>
        <w:proofErr w:type="gramEnd"/>
      </w:hyperlink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который оптимизировал состав информации для размещения в ГИС ЖКХ, внёс изменения в</w:t>
      </w:r>
      <w:r w:rsidRPr="00C56FD3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7" w:tgtFrame="_blank" w:history="1">
        <w:r w:rsidRPr="00A15215">
          <w:rPr>
            <w:rFonts w:ascii="Times New Roman" w:eastAsia="Times New Roman" w:hAnsi="Times New Roman" w:cs="Times New Roman"/>
            <w:color w:val="0168B9"/>
            <w:sz w:val="26"/>
            <w:szCs w:val="26"/>
            <w:u w:val="single"/>
          </w:rPr>
          <w:t>приказ 74/114/пр</w:t>
        </w:r>
      </w:hyperlink>
      <w:r w:rsidRPr="00A152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6FD3" w:rsidRPr="00C56FD3" w:rsidRDefault="00C56FD3" w:rsidP="006C1342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Переход будет проходить постепенно, по-новому </w:t>
      </w:r>
      <w:r w:rsidR="006C13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УО начнут </w:t>
      </w: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заполнять ГИС ЖКХ с 1 октября 2018 года. </w:t>
      </w:r>
    </w:p>
    <w:p w:rsidR="00C56FD3" w:rsidRPr="006C1342" w:rsidRDefault="00C56FD3" w:rsidP="00E23DE5">
      <w:pPr>
        <w:shd w:val="clear" w:color="auto" w:fill="FFFFFF"/>
        <w:spacing w:before="258" w:after="258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C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Соблюде</w:t>
      </w:r>
      <w:r w:rsidR="006C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 w:rsidRPr="006C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срок</w:t>
      </w:r>
      <w:r w:rsidR="006C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6C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ответ</w:t>
      </w:r>
      <w:r w:rsidR="006C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6C13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запросы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УО не могут ограничивать жителям дома доступ к раскрываемой </w:t>
      </w:r>
      <w:proofErr w:type="gramStart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proofErr w:type="gramEnd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обязаны обеспечить сохранность раскрываемой информации в местах её размещения. Если данные больше не актуальны, носитель с ними можно выбросить.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Информацию собственникам и пользователям помещений в МКД УО предоставляет по запросу в определённые сроки.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proofErr w:type="gramStart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на следующий день после получения запроса нужно предоставить данные, которые УО размещают на стендах, досках объявлений, вывесках и ГИС ЖКХ.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вы посчитаете, что запрашиваемая информация затрагивает интересы неопределённого круга лиц и раскрыта должным способом и в необходимом объёме, и она актуальна на день обращения, вы можете не распечатывать сведения заново, а просто сообщить место, где они размещены.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Не более трёх рабочих дней после поступления запроса отводится для предоставления письменной информации за запрашиваемые потребителем периоды о помесячном количестве потреблённых коммунальных ресурсов по показаниям ОДПУ, суммарном объёме КУ, потреблённых в жилых и нежилых помещениях в МКД, количестве КУ, рассчитанных по нормативам, объёмах ОДН.</w:t>
      </w:r>
      <w:proofErr w:type="gramEnd"/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В эти же сроки выдаются:</w:t>
      </w:r>
    </w:p>
    <w:p w:rsidR="00C56FD3" w:rsidRPr="00C56FD3" w:rsidRDefault="00C56FD3" w:rsidP="00E23DE5">
      <w:pPr>
        <w:numPr>
          <w:ilvl w:val="0"/>
          <w:numId w:val="1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 показаниях ОДПУ за период не более 3 лет со дня снятия показаний;</w:t>
      </w:r>
    </w:p>
    <w:p w:rsidR="00C56FD3" w:rsidRPr="00C56FD3" w:rsidRDefault="00C56FD3" w:rsidP="00E23DE5">
      <w:pPr>
        <w:numPr>
          <w:ilvl w:val="0"/>
          <w:numId w:val="1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акта о причинении ущерба жизни, здоровью и имуществу собственника или пользователя помещения в МКД, ОИ в МКД;</w:t>
      </w:r>
    </w:p>
    <w:p w:rsidR="00C56FD3" w:rsidRPr="00C56FD3" w:rsidRDefault="00C56FD3" w:rsidP="00E23DE5">
      <w:pPr>
        <w:numPr>
          <w:ilvl w:val="0"/>
          <w:numId w:val="1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акта нарушения качества или превышения установленной продолжительности перерыва в оказании услуг или выполнении работ;</w:t>
      </w:r>
    </w:p>
    <w:p w:rsidR="00C56FD3" w:rsidRPr="00C56FD3" w:rsidRDefault="00C56FD3" w:rsidP="00E23DE5">
      <w:pPr>
        <w:numPr>
          <w:ilvl w:val="0"/>
          <w:numId w:val="1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копия акта проверки предоставления КУ ненадлежащего качества или с перерывами, превышающими установленную продолжительность.</w:t>
      </w:r>
    </w:p>
    <w:p w:rsidR="006C1342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житель МКД запросит любую другую информацию, не упомянутую здесь, ориентироваться нужно на сроки, установленные соответствующими нормативными правовыми актами. И всё же ответ жителю нужно дать не позднее 10 дней с момента получения запроса.</w:t>
      </w:r>
      <w:r w:rsidR="006C13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Поступивший в УО запрос не выбрасывается, а регистрируется и хранится в течение 3 лет со дня его регистрации. Вместе с запросом хранится копия ответа на него.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Есть несколько вариантов, как собственник или пользователь помещения в МКД может отправить запрос в УО:</w:t>
      </w:r>
    </w:p>
    <w:p w:rsidR="00C56FD3" w:rsidRPr="00C56FD3" w:rsidRDefault="00C56FD3" w:rsidP="00E23DE5">
      <w:pPr>
        <w:numPr>
          <w:ilvl w:val="0"/>
          <w:numId w:val="2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почтовым отправлением;</w:t>
      </w:r>
    </w:p>
    <w:p w:rsidR="00C56FD3" w:rsidRPr="00C56FD3" w:rsidRDefault="00C56FD3" w:rsidP="00E23DE5">
      <w:pPr>
        <w:numPr>
          <w:ilvl w:val="0"/>
          <w:numId w:val="2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электронным</w:t>
      </w:r>
      <w:proofErr w:type="gramEnd"/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сообщение на электронную почту УО, ТСЖ;</w:t>
      </w:r>
    </w:p>
    <w:p w:rsidR="00C56FD3" w:rsidRPr="00C56FD3" w:rsidRDefault="00C56FD3" w:rsidP="00E23DE5">
      <w:pPr>
        <w:numPr>
          <w:ilvl w:val="0"/>
          <w:numId w:val="2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в ГИС ЖКХ;</w:t>
      </w:r>
    </w:p>
    <w:p w:rsidR="00C56FD3" w:rsidRPr="00C56FD3" w:rsidRDefault="00C56FD3" w:rsidP="00E23DE5">
      <w:pPr>
        <w:numPr>
          <w:ilvl w:val="0"/>
          <w:numId w:val="2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с нарочным или через консьержа, если услуга консьержа предусмотрена договором управления МКД;</w:t>
      </w:r>
    </w:p>
    <w:p w:rsidR="00C56FD3" w:rsidRPr="00C56FD3" w:rsidRDefault="00C56FD3" w:rsidP="00E23DE5">
      <w:pPr>
        <w:numPr>
          <w:ilvl w:val="0"/>
          <w:numId w:val="2"/>
        </w:numPr>
        <w:shd w:val="clear" w:color="auto" w:fill="FFFFFF"/>
        <w:spacing w:before="86" w:after="86" w:line="34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6FD3">
        <w:rPr>
          <w:rFonts w:ascii="Times New Roman" w:eastAsia="Times New Roman" w:hAnsi="Times New Roman" w:cs="Times New Roman"/>
          <w:color w:val="000000"/>
          <w:sz w:val="27"/>
          <w:szCs w:val="27"/>
        </w:rPr>
        <w:t>устно, в том числе на приёме.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Официальный ответ нужно отправить таким же способом, каким был получен запрос, если заявитель не указал другой способ.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Бывает так, что запрос в управляющую организацию делают сразу несколько человек, не являющихся собственниками или пользователями помещений в МКД. В таком случае ответить им нужно в течение 30 календарных дней со дня регистрации обращения.</w:t>
      </w:r>
    </w:p>
    <w:p w:rsidR="00C56FD3" w:rsidRP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рассмотрения запроса можно продлить, но не более чем на 30 календарных дней, если для подготовки ответа требуется дополнительная информация от иных лиц. Главное – уведомить заявителя о продлении срока рассмотрения заявки.</w:t>
      </w:r>
    </w:p>
    <w:p w:rsidR="00C56FD3" w:rsidRDefault="00C56FD3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56FD3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Такое уведомление, обязательно с указанием причин продления, УО направляет заявителю до истечения 30-дневного срока рассмотрения обращения в ГИС ЖКХ или в письменном виде, но так, чтобы можно было установить дату отправки или подтвердить факт получения.</w:t>
      </w:r>
    </w:p>
    <w:p w:rsidR="005A57FC" w:rsidRDefault="005A57FC" w:rsidP="00E23DE5">
      <w:pPr>
        <w:shd w:val="clear" w:color="auto" w:fill="FFFFFF"/>
        <w:spacing w:before="360" w:after="360" w:line="346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7FC" w:rsidRPr="005A57FC" w:rsidRDefault="005A57FC" w:rsidP="005A57FC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A57FC">
        <w:rPr>
          <w:rFonts w:ascii="Times New Roman" w:hAnsi="Times New Roman" w:cs="Times New Roman"/>
          <w:b/>
          <w:sz w:val="26"/>
          <w:szCs w:val="26"/>
        </w:rPr>
        <w:lastRenderedPageBreak/>
        <w:t>Осмотры общего имущества</w:t>
      </w:r>
    </w:p>
    <w:p w:rsidR="005A57FC" w:rsidRDefault="005A57FC" w:rsidP="005A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Осмотры общего имущества могут быть текущие, сезонные и внеочередные.</w:t>
      </w:r>
    </w:p>
    <w:p w:rsidR="005A57FC" w:rsidRDefault="005A57FC" w:rsidP="005A57FC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Текущие осмотры могут быть общие, в ходе которых проводится осмотр всего общего имущества, и частичные, в ходе которых осуществляется осмотр элементов общего имущества. Общие и частичные осмотры проводятся в сроки, рекомендуемые в технической документации на многоквартирный дом и обеспечивающие надлежащее содержание общего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в зависимости от материалов изготовления элементов общего имущества.</w:t>
      </w:r>
    </w:p>
    <w:p w:rsidR="005A57FC" w:rsidRDefault="005A57FC" w:rsidP="005A57FC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Сезонные осмотры проводятся в отношении всего общего имущества 2 раза в год:</w:t>
      </w:r>
    </w:p>
    <w:p w:rsidR="005A57FC" w:rsidRDefault="005A57FC" w:rsidP="005A57F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имущества. При этом уточняются объемы работ по текущему ремонту;</w:t>
      </w:r>
    </w:p>
    <w:p w:rsidR="005A57FC" w:rsidRDefault="005A57FC" w:rsidP="005A57F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период.</w:t>
      </w:r>
    </w:p>
    <w:p w:rsidR="005A57FC" w:rsidRDefault="005A57FC" w:rsidP="005A57FC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Внеочередные осмотры проводятся в течение одних суток после произошедших аварий, опасного природного процесса или явления, катастрофы,</w:t>
      </w:r>
      <w:r w:rsidR="008F651B">
        <w:rPr>
          <w:rFonts w:ascii="Times New Roman" w:hAnsi="Times New Roman" w:cs="Times New Roman"/>
          <w:sz w:val="26"/>
          <w:szCs w:val="26"/>
        </w:rPr>
        <w:t xml:space="preserve"> стихийного или иного бедствия.</w:t>
      </w:r>
    </w:p>
    <w:p w:rsidR="005A57FC" w:rsidRDefault="005A57FC" w:rsidP="005A57FC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Техническое состояние элементов общего имущества, а также выявленные в ходе осеннего осмотра неисправности и повреждения отражаются в документе по учету технического состояния многоквар</w:t>
      </w:r>
      <w:r w:rsidR="008F651B">
        <w:rPr>
          <w:rFonts w:ascii="Times New Roman" w:hAnsi="Times New Roman" w:cs="Times New Roman"/>
          <w:sz w:val="26"/>
          <w:szCs w:val="26"/>
        </w:rPr>
        <w:t>тирного дома (журнале осмотра).</w:t>
      </w:r>
    </w:p>
    <w:p w:rsidR="00EE2848" w:rsidRDefault="00EE2848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2848" w:rsidRDefault="00EE2848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2848" w:rsidRDefault="00EE2848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2848" w:rsidRDefault="00EE2848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2848" w:rsidRDefault="00EE2848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2848" w:rsidRDefault="00EE2848" w:rsidP="00E23DE5">
      <w:pPr>
        <w:shd w:val="clear" w:color="auto" w:fill="FFFFFF"/>
        <w:spacing w:before="360" w:after="360" w:line="34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EE2848" w:rsidSect="0063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3E3"/>
    <w:multiLevelType w:val="multilevel"/>
    <w:tmpl w:val="2CB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871B4C"/>
    <w:multiLevelType w:val="multilevel"/>
    <w:tmpl w:val="DF26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8950DF"/>
    <w:multiLevelType w:val="multilevel"/>
    <w:tmpl w:val="5D1C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D40CD9"/>
    <w:multiLevelType w:val="multilevel"/>
    <w:tmpl w:val="F03C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F0DA4"/>
    <w:multiLevelType w:val="multilevel"/>
    <w:tmpl w:val="21F8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733DFF"/>
    <w:multiLevelType w:val="multilevel"/>
    <w:tmpl w:val="5E82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803048"/>
    <w:multiLevelType w:val="multilevel"/>
    <w:tmpl w:val="EF4E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515BF6"/>
    <w:multiLevelType w:val="multilevel"/>
    <w:tmpl w:val="80C0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6126"/>
    <w:multiLevelType w:val="multilevel"/>
    <w:tmpl w:val="7ABA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0960D5"/>
    <w:multiLevelType w:val="multilevel"/>
    <w:tmpl w:val="381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BE67E8"/>
    <w:multiLevelType w:val="multilevel"/>
    <w:tmpl w:val="E892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1E7421"/>
    <w:multiLevelType w:val="multilevel"/>
    <w:tmpl w:val="BC56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1F5810"/>
    <w:multiLevelType w:val="multilevel"/>
    <w:tmpl w:val="695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6A135E"/>
    <w:multiLevelType w:val="multilevel"/>
    <w:tmpl w:val="76CC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E0DFB"/>
    <w:multiLevelType w:val="multilevel"/>
    <w:tmpl w:val="FFF6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8F3430"/>
    <w:multiLevelType w:val="multilevel"/>
    <w:tmpl w:val="818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607B6E"/>
    <w:multiLevelType w:val="multilevel"/>
    <w:tmpl w:val="1480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EB4C16"/>
    <w:multiLevelType w:val="multilevel"/>
    <w:tmpl w:val="413A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856576"/>
    <w:multiLevelType w:val="multilevel"/>
    <w:tmpl w:val="524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7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9"/>
  </w:num>
  <w:num w:numId="17">
    <w:abstractNumId w:val="6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56FD3"/>
    <w:rsid w:val="00034EF7"/>
    <w:rsid w:val="000F75E0"/>
    <w:rsid w:val="0011495A"/>
    <w:rsid w:val="005A57FC"/>
    <w:rsid w:val="00633AD5"/>
    <w:rsid w:val="006C1342"/>
    <w:rsid w:val="007A017C"/>
    <w:rsid w:val="008F651B"/>
    <w:rsid w:val="00942232"/>
    <w:rsid w:val="00A15215"/>
    <w:rsid w:val="00C56FD3"/>
    <w:rsid w:val="00DD7AB5"/>
    <w:rsid w:val="00E23DE5"/>
    <w:rsid w:val="00EE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D5"/>
  </w:style>
  <w:style w:type="paragraph" w:styleId="2">
    <w:name w:val="heading 2"/>
    <w:basedOn w:val="a"/>
    <w:link w:val="20"/>
    <w:uiPriority w:val="9"/>
    <w:qFormat/>
    <w:rsid w:val="00C56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F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5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6FD3"/>
  </w:style>
  <w:style w:type="character" w:styleId="a4">
    <w:name w:val="Hyperlink"/>
    <w:basedOn w:val="a0"/>
    <w:uiPriority w:val="99"/>
    <w:semiHidden/>
    <w:unhideWhenUsed/>
    <w:rsid w:val="00C56FD3"/>
    <w:rPr>
      <w:color w:val="0000FF"/>
      <w:u w:val="single"/>
    </w:rPr>
  </w:style>
  <w:style w:type="character" w:styleId="a5">
    <w:name w:val="Strong"/>
    <w:basedOn w:val="a0"/>
    <w:uiPriority w:val="22"/>
    <w:qFormat/>
    <w:rsid w:val="00C56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739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919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3987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1096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4908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600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736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6397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17669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9697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1976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8528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6574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830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3800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861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7059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0490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697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309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01785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1461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8415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673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7792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3645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5896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17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24090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071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0339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0253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143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2613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76396">
          <w:blockQuote w:val="1"/>
          <w:marLeft w:val="-1354"/>
          <w:marRight w:val="-1365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6504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401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801250019" TargetMode="External"/><Relationship Id="rId5" Type="http://schemas.openxmlformats.org/officeDocument/2006/relationships/hyperlink" Target="http://publication.pravo.gov.ru/Document/View/00012018040300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Геннадьевна</dc:creator>
  <cp:keywords/>
  <dc:description/>
  <cp:lastModifiedBy>ХАРИТОНОВА Светлана Геннадьевна</cp:lastModifiedBy>
  <cp:revision>8</cp:revision>
  <dcterms:created xsi:type="dcterms:W3CDTF">2018-04-19T01:17:00Z</dcterms:created>
  <dcterms:modified xsi:type="dcterms:W3CDTF">2018-04-20T01:46:00Z</dcterms:modified>
</cp:coreProperties>
</file>