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C" w:rsidRPr="0034282A" w:rsidRDefault="00E8747C" w:rsidP="00E8747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8747C" w:rsidRDefault="00E8747C" w:rsidP="00E87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работы администрации города Заринска Алтайского края с обращениями граждан, поступившими в</w:t>
      </w:r>
      <w:r w:rsidR="00E010F6">
        <w:rPr>
          <w:rFonts w:ascii="Times New Roman" w:hAnsi="Times New Roman" w:cs="Times New Roman"/>
          <w:b/>
          <w:sz w:val="28"/>
          <w:szCs w:val="28"/>
        </w:rPr>
        <w:t>о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Pr="00885CA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 года</w:t>
      </w:r>
    </w:p>
    <w:p w:rsidR="00E8747C" w:rsidRPr="00CC2F91" w:rsidRDefault="00E8747C" w:rsidP="00E874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10F6">
        <w:rPr>
          <w:rFonts w:ascii="Times New Roman" w:hAnsi="Times New Roman" w:cs="Times New Roman"/>
          <w:sz w:val="28"/>
          <w:szCs w:val="28"/>
        </w:rPr>
        <w:t>администрацию города поступило</w:t>
      </w:r>
      <w:r w:rsidR="00C60C36">
        <w:rPr>
          <w:rFonts w:ascii="Times New Roman" w:hAnsi="Times New Roman" w:cs="Times New Roman"/>
          <w:sz w:val="28"/>
          <w:szCs w:val="28"/>
        </w:rPr>
        <w:t xml:space="preserve"> 93</w:t>
      </w:r>
      <w:r w:rsidR="00E0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C60C36">
        <w:rPr>
          <w:rFonts w:ascii="Times New Roman" w:hAnsi="Times New Roman" w:cs="Times New Roman"/>
          <w:sz w:val="28"/>
          <w:szCs w:val="28"/>
        </w:rPr>
        <w:t>щения</w:t>
      </w:r>
      <w:r w:rsidR="00E010F6">
        <w:rPr>
          <w:rFonts w:ascii="Times New Roman" w:hAnsi="Times New Roman" w:cs="Times New Roman"/>
          <w:sz w:val="28"/>
          <w:szCs w:val="28"/>
        </w:rPr>
        <w:t xml:space="preserve"> граждан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C3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обращений – коллективные. Сравнительный анализ количества поступивших 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2015-2017 годов обращений выглядит 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E8747C" w:rsidTr="00662648">
        <w:tc>
          <w:tcPr>
            <w:tcW w:w="3469" w:type="dxa"/>
          </w:tcPr>
          <w:p w:rsidR="00E8747C" w:rsidRPr="009A2965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E8747C" w:rsidRPr="001325CE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747C" w:rsidRPr="001325CE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E8747C" w:rsidRPr="001325CE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8747C" w:rsidTr="00662648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E8747C" w:rsidRPr="005C29E3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8747C" w:rsidRDefault="00C60C36" w:rsidP="00C60C3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47C" w:rsidRDefault="00C60C36" w:rsidP="00C6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8747C" w:rsidRDefault="00E8747C" w:rsidP="0066264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0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47C" w:rsidTr="00662648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47C" w:rsidRDefault="00E8747C" w:rsidP="00E8747C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C650F0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 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0F0">
        <w:rPr>
          <w:rFonts w:ascii="Times New Roman" w:hAnsi="Times New Roman" w:cs="Times New Roman"/>
          <w:sz w:val="28"/>
          <w:szCs w:val="28"/>
        </w:rPr>
        <w:t xml:space="preserve"> квартале в администрацию города обращений (</w:t>
      </w:r>
      <w:r w:rsidRPr="00737D36">
        <w:rPr>
          <w:rFonts w:ascii="Times New Roman" w:hAnsi="Times New Roman" w:cs="Times New Roman"/>
          <w:sz w:val="28"/>
          <w:szCs w:val="28"/>
        </w:rPr>
        <w:t>9</w:t>
      </w:r>
      <w:r w:rsidR="00CE48B5">
        <w:rPr>
          <w:rFonts w:ascii="Times New Roman" w:hAnsi="Times New Roman" w:cs="Times New Roman"/>
          <w:sz w:val="28"/>
          <w:szCs w:val="28"/>
        </w:rPr>
        <w:t>3</w:t>
      </w:r>
      <w:r w:rsidRPr="00C650F0">
        <w:rPr>
          <w:rFonts w:ascii="Times New Roman" w:hAnsi="Times New Roman" w:cs="Times New Roman"/>
          <w:sz w:val="28"/>
          <w:szCs w:val="28"/>
        </w:rPr>
        <w:t>):</w:t>
      </w:r>
    </w:p>
    <w:p w:rsidR="00E8747C" w:rsidRDefault="00E8747C" w:rsidP="00E874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 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7E9F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%) 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поступили из</w:t>
      </w:r>
      <w:r w:rsidR="00B17E9F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Pr="00D20EC7">
        <w:rPr>
          <w:rFonts w:ascii="Times New Roman" w:hAnsi="Times New Roman" w:cs="Times New Roman"/>
          <w:sz w:val="28"/>
          <w:szCs w:val="28"/>
        </w:rPr>
        <w:t>Алтайского края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7E9F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0C">
        <w:rPr>
          <w:rFonts w:ascii="Times New Roman" w:hAnsi="Times New Roman" w:cs="Times New Roman"/>
          <w:sz w:val="28"/>
          <w:szCs w:val="28"/>
        </w:rPr>
        <w:t>%) обращение</w:t>
      </w:r>
      <w:r w:rsidRPr="00D20EC7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России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E48B5">
        <w:rPr>
          <w:rFonts w:ascii="Times New Roman" w:hAnsi="Times New Roman" w:cs="Times New Roman"/>
          <w:sz w:val="28"/>
          <w:szCs w:val="28"/>
        </w:rPr>
        <w:t>7</w:t>
      </w:r>
      <w:r w:rsidR="00ED670C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7E9F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69</w:t>
      </w:r>
      <w:r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CE48B5">
        <w:rPr>
          <w:rFonts w:ascii="Times New Roman" w:hAnsi="Times New Roman" w:cs="Times New Roman"/>
          <w:sz w:val="28"/>
          <w:szCs w:val="28"/>
        </w:rPr>
        <w:t>7</w:t>
      </w:r>
      <w:r w:rsidR="00B17E9F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%)</w:t>
      </w:r>
      <w:r w:rsidR="00ED670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 в письменном виде и в электронн</w:t>
      </w:r>
      <w:r>
        <w:rPr>
          <w:rFonts w:ascii="Times New Roman" w:hAnsi="Times New Roman" w:cs="Times New Roman"/>
          <w:sz w:val="28"/>
          <w:szCs w:val="28"/>
        </w:rPr>
        <w:t>ой форме</w:t>
      </w:r>
      <w:r w:rsidRPr="00D20EC7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 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E8747C" w:rsidTr="00662648">
        <w:trPr>
          <w:trHeight w:val="390"/>
        </w:trPr>
        <w:tc>
          <w:tcPr>
            <w:tcW w:w="9746" w:type="dxa"/>
            <w:gridSpan w:val="3"/>
          </w:tcPr>
          <w:p w:rsidR="00E8747C" w:rsidRDefault="00E8747C" w:rsidP="0066264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125"/>
        </w:trPr>
        <w:tc>
          <w:tcPr>
            <w:tcW w:w="61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429"/>
        </w:trPr>
        <w:tc>
          <w:tcPr>
            <w:tcW w:w="6171" w:type="dxa"/>
          </w:tcPr>
          <w:p w:rsidR="00E8747C" w:rsidRPr="001C0D45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1804" w:type="dxa"/>
          </w:tcPr>
          <w:p w:rsidR="00E8747C" w:rsidRPr="00FD2AE7" w:rsidRDefault="00CE48B5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  <w:p w:rsidR="00CE48B5" w:rsidRPr="001C0D45" w:rsidRDefault="00CE48B5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CE48B5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CE48B5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экономике и управлению муниципальным имуществом </w:t>
            </w:r>
          </w:p>
          <w:p w:rsidR="00CE48B5" w:rsidRPr="001C0D45" w:rsidRDefault="00CE48B5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E8747C" w:rsidP="00E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DD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культуре   </w:t>
            </w:r>
          </w:p>
        </w:tc>
        <w:tc>
          <w:tcPr>
            <w:tcW w:w="1804" w:type="dxa"/>
          </w:tcPr>
          <w:p w:rsidR="00E8747C" w:rsidRPr="001C0D45" w:rsidRDefault="00B17E9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Pr="001C0D45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города              </w:t>
            </w:r>
          </w:p>
        </w:tc>
        <w:tc>
          <w:tcPr>
            <w:tcW w:w="1804" w:type="dxa"/>
          </w:tcPr>
          <w:p w:rsidR="00E8747C" w:rsidRPr="001C0D45" w:rsidRDefault="00B17E9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E8747C" w:rsidRPr="001C0D45" w:rsidRDefault="00B17E9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E8747C" w:rsidRPr="000E182C" w:rsidRDefault="00E8747C" w:rsidP="00B1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7E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E8747C" w:rsidRPr="00654FD2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DD1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E8747C" w:rsidRPr="001C0D45" w:rsidRDefault="00E8747C" w:rsidP="00B1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7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DD1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E8747C" w:rsidRPr="001C0D45" w:rsidRDefault="00B17E9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E8747C" w:rsidRPr="001C0D45" w:rsidRDefault="00B17E9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804" w:type="dxa"/>
          </w:tcPr>
          <w:p w:rsidR="00E8747C" w:rsidRPr="000E182C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E8747C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C243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Pr="00406122" w:rsidRDefault="00E8747C" w:rsidP="006626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E8747C" w:rsidRPr="00406122" w:rsidRDefault="00E8747C" w:rsidP="00091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091D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E8747C" w:rsidRPr="00406122" w:rsidRDefault="00E8747C" w:rsidP="006626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E8747C" w:rsidRDefault="00E8747C" w:rsidP="00E8747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76349" cy="10652166"/>
            <wp:effectExtent l="19050" t="0" r="1020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20"/>
        <w:tblW w:w="9557" w:type="dxa"/>
        <w:tblLook w:val="04A0"/>
      </w:tblPr>
      <w:tblGrid>
        <w:gridCol w:w="6226"/>
        <w:gridCol w:w="1664"/>
        <w:gridCol w:w="1667"/>
      </w:tblGrid>
      <w:tr w:rsidR="00E8747C" w:rsidTr="00662648">
        <w:trPr>
          <w:trHeight w:val="488"/>
        </w:trPr>
        <w:tc>
          <w:tcPr>
            <w:tcW w:w="9557" w:type="dxa"/>
            <w:gridSpan w:val="3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E8747C" w:rsidRPr="007E2A21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512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797E21" w:rsidP="00797E2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797E21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797E21" w:rsidP="00797E2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797E21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797E21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797E21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797E21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797E21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8747C" w:rsidTr="00662648">
        <w:trPr>
          <w:trHeight w:val="314"/>
        </w:trPr>
        <w:tc>
          <w:tcPr>
            <w:tcW w:w="6226" w:type="dxa"/>
          </w:tcPr>
          <w:p w:rsidR="00E8747C" w:rsidRPr="000C1DFB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797E2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E8747C" w:rsidRPr="00C00C55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Pr="00C00C55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C55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</w:tbl>
    <w:p w:rsidR="00E8747C" w:rsidRDefault="00ED670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47C" w:rsidRPr="001C001E">
        <w:rPr>
          <w:rFonts w:ascii="Times New Roman" w:hAnsi="Times New Roman" w:cs="Times New Roman"/>
          <w:sz w:val="28"/>
          <w:szCs w:val="28"/>
        </w:rPr>
        <w:t>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47C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  <w:r w:rsidR="00E8747C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797E21">
        <w:rPr>
          <w:rFonts w:ascii="Times New Roman" w:hAnsi="Times New Roman" w:cs="Times New Roman"/>
          <w:sz w:val="28"/>
          <w:szCs w:val="28"/>
        </w:rPr>
        <w:t xml:space="preserve"> 32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797E21">
        <w:rPr>
          <w:rFonts w:ascii="Times New Roman" w:hAnsi="Times New Roman" w:cs="Times New Roman"/>
          <w:sz w:val="28"/>
          <w:szCs w:val="28"/>
        </w:rPr>
        <w:t>34,4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</w:t>
      </w:r>
      <w:r w:rsidR="00C243C0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7E21">
        <w:rPr>
          <w:rFonts w:ascii="Times New Roman" w:hAnsi="Times New Roman" w:cs="Times New Roman"/>
          <w:sz w:val="28"/>
          <w:szCs w:val="28"/>
        </w:rPr>
        <w:t>48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797E21">
        <w:rPr>
          <w:rFonts w:ascii="Times New Roman" w:hAnsi="Times New Roman" w:cs="Times New Roman"/>
          <w:sz w:val="28"/>
          <w:szCs w:val="28"/>
        </w:rPr>
        <w:t>51,6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>обращений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 w:rsidR="00E8747C">
        <w:rPr>
          <w:rFonts w:ascii="Times New Roman" w:hAnsi="Times New Roman" w:cs="Times New Roman"/>
          <w:sz w:val="28"/>
          <w:szCs w:val="28"/>
        </w:rPr>
        <w:t>,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>
        <w:rPr>
          <w:rFonts w:ascii="Times New Roman" w:hAnsi="Times New Roman" w:cs="Times New Roman"/>
          <w:sz w:val="28"/>
          <w:szCs w:val="28"/>
        </w:rPr>
        <w:t xml:space="preserve">электронной почтой </w:t>
      </w:r>
      <w:r w:rsidR="00797E21">
        <w:rPr>
          <w:rFonts w:ascii="Times New Roman" w:hAnsi="Times New Roman" w:cs="Times New Roman"/>
          <w:sz w:val="28"/>
          <w:szCs w:val="28"/>
        </w:rPr>
        <w:t>9</w:t>
      </w:r>
      <w:r w:rsidR="00E8747C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797E21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%) и</w:t>
      </w:r>
      <w:r w:rsidR="00E8747C">
        <w:rPr>
          <w:rFonts w:ascii="Times New Roman" w:hAnsi="Times New Roman" w:cs="Times New Roman"/>
          <w:sz w:val="28"/>
          <w:szCs w:val="28"/>
        </w:rPr>
        <w:t xml:space="preserve">  </w:t>
      </w:r>
      <w:r w:rsidR="00797E21">
        <w:rPr>
          <w:rFonts w:ascii="Times New Roman" w:hAnsi="Times New Roman" w:cs="Times New Roman"/>
          <w:sz w:val="28"/>
          <w:szCs w:val="28"/>
        </w:rPr>
        <w:t>4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(</w:t>
      </w:r>
      <w:r w:rsidR="00797E21">
        <w:rPr>
          <w:rFonts w:ascii="Times New Roman" w:hAnsi="Times New Roman" w:cs="Times New Roman"/>
          <w:sz w:val="28"/>
          <w:szCs w:val="28"/>
        </w:rPr>
        <w:t>4,3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E8747C" w:rsidRPr="001C001E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51B6" w:rsidRDefault="00E8747C" w:rsidP="00E8747C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8597" cy="2671948"/>
            <wp:effectExtent l="19050" t="0" r="23503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>
        <w:rPr>
          <w:rFonts w:ascii="Times New Roman" w:hAnsi="Times New Roman" w:cs="Times New Roman"/>
          <w:sz w:val="28"/>
          <w:szCs w:val="28"/>
        </w:rPr>
        <w:t xml:space="preserve">обращения распределились следующим образом: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797E21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7E21">
        <w:rPr>
          <w:rFonts w:ascii="Times New Roman" w:hAnsi="Times New Roman" w:cs="Times New Roman"/>
          <w:sz w:val="28"/>
          <w:szCs w:val="28"/>
        </w:rPr>
        <w:t>28,0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Pr="001C001E">
        <w:rPr>
          <w:rFonts w:ascii="Times New Roman" w:hAnsi="Times New Roman" w:cs="Times New Roman"/>
          <w:sz w:val="28"/>
          <w:szCs w:val="28"/>
        </w:rPr>
        <w:lastRenderedPageBreak/>
        <w:t>от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 xml:space="preserve">– </w:t>
      </w:r>
      <w:r w:rsidR="00435AAA">
        <w:rPr>
          <w:rFonts w:ascii="Times New Roman" w:hAnsi="Times New Roman" w:cs="Times New Roman"/>
          <w:sz w:val="28"/>
          <w:szCs w:val="28"/>
        </w:rPr>
        <w:t>47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</w:t>
      </w:r>
      <w:r w:rsidR="00435AAA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>–</w:t>
      </w:r>
      <w:r w:rsidR="00435AAA">
        <w:rPr>
          <w:rFonts w:ascii="Times New Roman" w:hAnsi="Times New Roman" w:cs="Times New Roman"/>
          <w:sz w:val="28"/>
          <w:szCs w:val="28"/>
        </w:rPr>
        <w:t xml:space="preserve"> 8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435AAA">
        <w:rPr>
          <w:rFonts w:ascii="Times New Roman" w:hAnsi="Times New Roman" w:cs="Times New Roman"/>
          <w:sz w:val="28"/>
          <w:szCs w:val="28"/>
        </w:rPr>
        <w:t>(8,6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97E21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7E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7E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9 %)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857065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38074" cy="4726380"/>
            <wp:effectExtent l="19050" t="0" r="10226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B2">
        <w:rPr>
          <w:rFonts w:ascii="Times New Roman" w:hAnsi="Times New Roman" w:cs="Times New Roman"/>
          <w:sz w:val="28"/>
          <w:szCs w:val="28"/>
        </w:rPr>
        <w:t>Анализ тематики обращений показал, что 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Pr="009F6BB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BB2">
        <w:rPr>
          <w:rFonts w:ascii="Times New Roman" w:hAnsi="Times New Roman" w:cs="Times New Roman"/>
          <w:sz w:val="28"/>
          <w:szCs w:val="28"/>
        </w:rPr>
        <w:t xml:space="preserve"> значительного изменения в характере просьб, заявлений, жалоб граждан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прошлыми годами </w:t>
      </w:r>
      <w:r w:rsidRPr="009F6BB2">
        <w:rPr>
          <w:rFonts w:ascii="Times New Roman" w:hAnsi="Times New Roman" w:cs="Times New Roman"/>
          <w:sz w:val="28"/>
          <w:szCs w:val="28"/>
        </w:rPr>
        <w:t xml:space="preserve">не произошло. </w:t>
      </w:r>
      <w:r>
        <w:rPr>
          <w:rFonts w:ascii="Times New Roman" w:hAnsi="Times New Roman" w:cs="Times New Roman"/>
          <w:sz w:val="28"/>
          <w:szCs w:val="28"/>
        </w:rPr>
        <w:t>По–прежнему остаются актуальными вопросы жилищно – коммунального хозяйства - 4</w:t>
      </w:r>
      <w:r w:rsidR="00435AAA">
        <w:rPr>
          <w:rFonts w:ascii="Times New Roman" w:hAnsi="Times New Roman" w:cs="Times New Roman"/>
          <w:sz w:val="28"/>
          <w:szCs w:val="28"/>
        </w:rPr>
        <w:t>4 обращения, около  52,2</w:t>
      </w:r>
      <w:r>
        <w:rPr>
          <w:rFonts w:ascii="Times New Roman" w:hAnsi="Times New Roman" w:cs="Times New Roman"/>
          <w:sz w:val="28"/>
          <w:szCs w:val="28"/>
        </w:rPr>
        <w:t xml:space="preserve"> % которых касались воп</w:t>
      </w:r>
      <w:r w:rsidR="00435AAA">
        <w:rPr>
          <w:rFonts w:ascii="Times New Roman" w:hAnsi="Times New Roman" w:cs="Times New Roman"/>
          <w:sz w:val="28"/>
          <w:szCs w:val="28"/>
        </w:rPr>
        <w:t>роса ремонта  дорог и 21,8% это обр</w:t>
      </w:r>
      <w:r w:rsidR="0024490E">
        <w:rPr>
          <w:rFonts w:ascii="Times New Roman" w:hAnsi="Times New Roman" w:cs="Times New Roman"/>
          <w:sz w:val="28"/>
          <w:szCs w:val="28"/>
        </w:rPr>
        <w:t>ащения о вырубке деревьев</w:t>
      </w:r>
      <w:r w:rsidR="00ED670C">
        <w:rPr>
          <w:rFonts w:ascii="Times New Roman" w:hAnsi="Times New Roman" w:cs="Times New Roman"/>
          <w:sz w:val="28"/>
          <w:szCs w:val="28"/>
        </w:rPr>
        <w:t xml:space="preserve"> и свалки</w:t>
      </w:r>
      <w:r>
        <w:rPr>
          <w:rFonts w:ascii="Times New Roman" w:hAnsi="Times New Roman" w:cs="Times New Roman"/>
          <w:sz w:val="28"/>
          <w:szCs w:val="28"/>
        </w:rPr>
        <w:t xml:space="preserve">, (обращения в основном поступали от жителей индивидуального сектора).  В целом тематика обращений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квартал 2017 года сложилась следующим образом:</w:t>
      </w: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8F7298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/>
      </w:tblPr>
      <w:tblGrid>
        <w:gridCol w:w="595"/>
        <w:gridCol w:w="3584"/>
        <w:gridCol w:w="1665"/>
        <w:gridCol w:w="1967"/>
        <w:gridCol w:w="1476"/>
      </w:tblGrid>
      <w:tr w:rsidR="00E8747C" w:rsidTr="00662648">
        <w:trPr>
          <w:trHeight w:val="437"/>
        </w:trPr>
        <w:tc>
          <w:tcPr>
            <w:tcW w:w="9287" w:type="dxa"/>
            <w:gridSpan w:val="5"/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E8747C" w:rsidTr="00662648">
        <w:tc>
          <w:tcPr>
            <w:tcW w:w="595" w:type="dxa"/>
            <w:vMerge w:val="restart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4" w:type="dxa"/>
            <w:vMerge w:val="restart"/>
            <w:tcBorders>
              <w:right w:val="single" w:sz="4" w:space="0" w:color="auto"/>
            </w:tcBorders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FE224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за 1 квартал</w:t>
            </w: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E8747C" w:rsidTr="00662648">
        <w:tc>
          <w:tcPr>
            <w:tcW w:w="595" w:type="dxa"/>
            <w:vMerge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  <w:tcBorders>
              <w:right w:val="single" w:sz="4" w:space="0" w:color="auto"/>
            </w:tcBorders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E8747C" w:rsidRPr="00BB529F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BB529F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76" w:type="dxa"/>
          </w:tcPr>
          <w:p w:rsidR="00E8747C" w:rsidRPr="00BB529F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(7,4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Default="0024490E" w:rsidP="0024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(9,7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(31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Default="00E8747C" w:rsidP="00C24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4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ED691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24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Default="00857065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(2,3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Default="00857065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(5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Default="0024490E" w:rsidP="00C24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691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24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rPr>
          <w:trHeight w:val="423"/>
        </w:trPr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Default="0024490E" w:rsidP="0024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223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10(10</w:t>
            </w:r>
            <w:r w:rsidR="00ED691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87394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87394" w:rsidRDefault="00857065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(11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Pr="00F8739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</w:t>
            </w:r>
            <w:r w:rsidR="0024490E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87394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87394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Pr="00F87394" w:rsidRDefault="0024490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87394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87394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Pr="00F8739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</w:t>
            </w:r>
            <w:r w:rsidR="0024490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8739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87394" w:rsidRDefault="00857065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Pr="00F87394" w:rsidRDefault="0024490E" w:rsidP="0024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87394" w:rsidRDefault="00857065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87394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Pr="00F8739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87394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87394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Pr="00F87394" w:rsidRDefault="00ED6917" w:rsidP="00C24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24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Default="00857065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(8%)</w:t>
            </w:r>
          </w:p>
        </w:tc>
        <w:tc>
          <w:tcPr>
            <w:tcW w:w="1476" w:type="dxa"/>
          </w:tcPr>
          <w:p w:rsidR="00E8747C" w:rsidRDefault="0024490E" w:rsidP="0024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9486D" w:rsidRDefault="00857065" w:rsidP="008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  <w:r w:rsidR="00E8747C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9486D" w:rsidRDefault="00857065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74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747C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476" w:type="dxa"/>
          </w:tcPr>
          <w:p w:rsidR="00E8747C" w:rsidRPr="00F9486D" w:rsidRDefault="00E8747C" w:rsidP="00244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449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 граждан Российской Федерации»  все поступившие 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2017 года обращения были рассмотрены в установленный законом срок и сняты с контроля. Из 9</w:t>
      </w:r>
      <w:r w:rsidR="007832B5">
        <w:rPr>
          <w:rFonts w:ascii="Times New Roman" w:hAnsi="Times New Roman" w:cs="Times New Roman"/>
          <w:sz w:val="28"/>
          <w:szCs w:val="28"/>
        </w:rPr>
        <w:t>3 обращений</w:t>
      </w:r>
      <w:r w:rsidR="00CB7683">
        <w:rPr>
          <w:rFonts w:ascii="Times New Roman" w:hAnsi="Times New Roman" w:cs="Times New Roman"/>
          <w:sz w:val="28"/>
          <w:szCs w:val="28"/>
        </w:rPr>
        <w:t xml:space="preserve"> рассмотрено в течение 5- дней 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C1A8F">
        <w:rPr>
          <w:rFonts w:ascii="Times New Roman" w:hAnsi="Times New Roman" w:cs="Times New Roman"/>
          <w:sz w:val="28"/>
          <w:szCs w:val="28"/>
        </w:rPr>
        <w:t>6,4</w:t>
      </w:r>
      <w:r w:rsidR="00CB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CB7683">
        <w:rPr>
          <w:rFonts w:ascii="Times New Roman" w:hAnsi="Times New Roman" w:cs="Times New Roman"/>
          <w:sz w:val="28"/>
          <w:szCs w:val="28"/>
        </w:rPr>
        <w:t xml:space="preserve"> обращений,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–</w:t>
      </w:r>
      <w:r w:rsidR="00CB7683">
        <w:rPr>
          <w:rFonts w:ascii="Times New Roman" w:hAnsi="Times New Roman" w:cs="Times New Roman"/>
          <w:sz w:val="28"/>
          <w:szCs w:val="28"/>
        </w:rPr>
        <w:t>11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11,9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7,5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обращения, в течение 30 дней – 64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C1A8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1A8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C1A8F">
        <w:rPr>
          <w:rFonts w:ascii="Times New Roman" w:hAnsi="Times New Roman" w:cs="Times New Roman"/>
          <w:color w:val="000000" w:themeColor="text1"/>
          <w:sz w:val="28"/>
          <w:szCs w:val="28"/>
        </w:rPr>
        <w:t>5,4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ответ дан на месте.</w:t>
      </w:r>
    </w:p>
    <w:p w:rsidR="00E8747C" w:rsidRPr="00595E19" w:rsidRDefault="00ED670C" w:rsidP="00E8747C">
      <w:pPr>
        <w:ind w:firstLine="708"/>
        <w:jc w:val="both"/>
        <w:rPr>
          <w:ins w:id="1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по обращениям (87,1</w:t>
      </w:r>
      <w:r w:rsidR="00E8747C" w:rsidRPr="00595E19">
        <w:rPr>
          <w:rFonts w:ascii="Times New Roman" w:hAnsi="Times New Roman" w:cs="Times New Roman"/>
          <w:sz w:val="28"/>
          <w:szCs w:val="28"/>
        </w:rPr>
        <w:t xml:space="preserve"> %) были пр</w:t>
      </w:r>
      <w:r>
        <w:rPr>
          <w:rFonts w:ascii="Times New Roman" w:hAnsi="Times New Roman" w:cs="Times New Roman"/>
          <w:sz w:val="28"/>
          <w:szCs w:val="28"/>
        </w:rPr>
        <w:t>иняты положительные решения, (3,2 %) обращений не поддержано и (9,7 %</w:t>
      </w:r>
      <w:r w:rsidR="00E8747C" w:rsidRPr="00595E19">
        <w:rPr>
          <w:rFonts w:ascii="Times New Roman" w:hAnsi="Times New Roman" w:cs="Times New Roman"/>
          <w:sz w:val="28"/>
          <w:szCs w:val="28"/>
        </w:rPr>
        <w:t>)  обращений направлены в соответствующие органы.</w:t>
      </w:r>
    </w:p>
    <w:p w:rsidR="00E8747C" w:rsidRDefault="004B3F8B" w:rsidP="00E8747C">
      <w:pPr>
        <w:jc w:val="both"/>
        <w:rPr>
          <w:rFonts w:ascii="Times New Roman" w:hAnsi="Times New Roman" w:cs="Times New Roman"/>
          <w:sz w:val="28"/>
          <w:szCs w:val="28"/>
        </w:rPr>
      </w:pPr>
      <w:ins w:id="2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3"/>
                </a:graphicData>
              </a:graphic>
            </wp:inline>
          </w:drawing>
        </w:r>
      </w:ins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Pr="002770ED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  <w:t>Т.А. Рубцова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001088" w:rsidRDefault="00E8747C" w:rsidP="00E8747C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p w:rsidR="00C243C0" w:rsidRDefault="00C243C0" w:rsidP="00E874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8-385-95-413-51</w:t>
      </w:r>
    </w:p>
    <w:p w:rsidR="00C243C0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p w:rsidR="00C243C0" w:rsidRPr="00E8747C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sectPr w:rsidR="00C243C0" w:rsidRPr="00E8747C" w:rsidSect="00C50949">
      <w:footerReference w:type="defaul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8B" w:rsidRDefault="004B3F8B">
      <w:pPr>
        <w:spacing w:after="0" w:line="240" w:lineRule="auto"/>
      </w:pPr>
      <w:r>
        <w:separator/>
      </w:r>
    </w:p>
  </w:endnote>
  <w:endnote w:type="continuationSeparator" w:id="1">
    <w:p w:rsidR="004B3F8B" w:rsidRDefault="004B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9C" w:rsidRDefault="004B3F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8B" w:rsidRDefault="004B3F8B">
      <w:pPr>
        <w:spacing w:after="0" w:line="240" w:lineRule="auto"/>
      </w:pPr>
      <w:r>
        <w:separator/>
      </w:r>
    </w:p>
  </w:footnote>
  <w:footnote w:type="continuationSeparator" w:id="1">
    <w:p w:rsidR="004B3F8B" w:rsidRDefault="004B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E3"/>
    <w:rsid w:val="00001088"/>
    <w:rsid w:val="000900CF"/>
    <w:rsid w:val="00091DD1"/>
    <w:rsid w:val="002220D4"/>
    <w:rsid w:val="0024490E"/>
    <w:rsid w:val="003D4CF0"/>
    <w:rsid w:val="003E63A4"/>
    <w:rsid w:val="00435AAA"/>
    <w:rsid w:val="004B12FF"/>
    <w:rsid w:val="004B3F8B"/>
    <w:rsid w:val="00602F9F"/>
    <w:rsid w:val="006744E3"/>
    <w:rsid w:val="007832B5"/>
    <w:rsid w:val="00797E21"/>
    <w:rsid w:val="00857065"/>
    <w:rsid w:val="0096223B"/>
    <w:rsid w:val="00AC1A8F"/>
    <w:rsid w:val="00B17E9F"/>
    <w:rsid w:val="00C243C0"/>
    <w:rsid w:val="00C271E3"/>
    <w:rsid w:val="00C51F2E"/>
    <w:rsid w:val="00C60C36"/>
    <w:rsid w:val="00CB7683"/>
    <w:rsid w:val="00CE48B5"/>
    <w:rsid w:val="00DB31A0"/>
    <w:rsid w:val="00E010F6"/>
    <w:rsid w:val="00E65D80"/>
    <w:rsid w:val="00E8747C"/>
    <w:rsid w:val="00ED670C"/>
    <w:rsid w:val="00ED6917"/>
    <w:rsid w:val="00F97729"/>
    <w:rsid w:val="00FC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2015-2017гг.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215</c:v>
                </c:pt>
                <c:pt idx="1">
                  <c:v>173</c:v>
                </c:pt>
                <c:pt idx="2">
                  <c:v>93</c:v>
                </c:pt>
              </c:numCache>
            </c:numRef>
          </c:val>
        </c:ser>
        <c:shape val="box"/>
        <c:axId val="50307456"/>
        <c:axId val="50334336"/>
        <c:axId val="0"/>
      </c:bar3DChart>
      <c:catAx>
        <c:axId val="50307456"/>
        <c:scaling>
          <c:orientation val="minMax"/>
        </c:scaling>
        <c:axPos val="b"/>
        <c:tickLblPos val="nextTo"/>
        <c:crossAx val="50334336"/>
        <c:crosses val="autoZero"/>
        <c:auto val="1"/>
        <c:lblAlgn val="ctr"/>
        <c:lblOffset val="100"/>
      </c:catAx>
      <c:valAx>
        <c:axId val="50334336"/>
        <c:scaling>
          <c:orientation val="minMax"/>
        </c:scaling>
        <c:axPos val="l"/>
        <c:majorGridlines/>
        <c:numFmt formatCode="General" sourceLinked="1"/>
        <c:tickLblPos val="nextTo"/>
        <c:crossAx val="503074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92%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8.0000000000000043E-2</c:v>
                </c:pt>
                <c:pt idx="1">
                  <c:v>0.92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0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1,2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18,2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45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74,2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6786E-2"/>
                  <c:y val="1.0702909809360282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1.0000000000000005E-2</c:v>
                </c:pt>
                <c:pt idx="2">
                  <c:v>0.19</c:v>
                </c:pt>
                <c:pt idx="3">
                  <c:v>0.75000000000000111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6944"/>
          <c:h val="0.40107071174927256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8.7670636592304275E-3"/>
          <c:w val="1"/>
          <c:h val="0.31006247657375646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Глава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Первый заместитель главы админтстрации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муниципальным имуществом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Заместитель главы администрации города, пердседатель комитета по культуре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Секретарь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Пресс-секретарь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админситрации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7,3%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строительству и архитектуре админитсрации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2,9%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финансам и кредитной политике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Комитет по физической культуре и спорту адмистрации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Юридический отдел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-5.70671185703444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3"/>
          <c:order val="12"/>
          <c:tx>
            <c:strRef>
              <c:f>Лист1!$O$1</c:f>
              <c:strCache>
                <c:ptCount val="1"/>
                <c:pt idx="0">
                  <c:v>Отдел по делам ГО ЧС и мобилизационной работы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3"/>
          <c:tx>
            <c:strRef>
              <c:f>Лист1!$P$1</c:f>
              <c:strCache>
                <c:ptCount val="1"/>
                <c:pt idx="0">
                  <c:v>Отдел муниципального жилищного контроля администрации города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6,5%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5"/>
          <c:order val="14"/>
          <c:tx>
            <c:strRef>
              <c:f>Лист1!$Q$1</c:f>
              <c:strCache>
                <c:ptCount val="1"/>
                <c:pt idx="0">
                  <c:v>Другие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Val val="1"/>
        </c:dLbls>
        <c:gapWidth val="75"/>
        <c:shape val="cone"/>
        <c:axId val="100877824"/>
        <c:axId val="100889344"/>
        <c:axId val="0"/>
      </c:bar3DChart>
      <c:catAx>
        <c:axId val="100877824"/>
        <c:scaling>
          <c:orientation val="minMax"/>
        </c:scaling>
        <c:axPos val="b"/>
        <c:numFmt formatCode="General" sourceLinked="1"/>
        <c:majorTickMark val="none"/>
        <c:tickLblPos val="nextTo"/>
        <c:crossAx val="100889344"/>
        <c:crosses val="autoZero"/>
        <c:auto val="1"/>
        <c:lblAlgn val="ctr"/>
        <c:lblOffset val="100"/>
      </c:catAx>
      <c:valAx>
        <c:axId val="10088934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0877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852969698367175E-2"/>
          <c:y val="0.40222404130528688"/>
          <c:w val="0.98563200105882876"/>
          <c:h val="0.40408716198961758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670286156001242E-3"/>
          <c:y val="0.41318740386390052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</c:dPt>
          <c:dPt>
            <c:idx val="2"/>
            <c:explosion val="17"/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34,4 %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51,6%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4,3%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48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>
        <c:manualLayout>
          <c:layoutTarget val="inner"/>
          <c:xMode val="edge"/>
          <c:yMode val="edge"/>
          <c:x val="6.3127785060155747E-2"/>
          <c:y val="0.13254653851319037"/>
          <c:w val="0.86838100072348123"/>
          <c:h val="0.78513952324975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47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</c:ser>
        <c:overlap val="100"/>
        <c:axId val="51417856"/>
        <c:axId val="51419392"/>
      </c:barChart>
      <c:catAx>
        <c:axId val="51417856"/>
        <c:scaling>
          <c:orientation val="minMax"/>
        </c:scaling>
        <c:axPos val="b"/>
        <c:numFmt formatCode="General" sourceLinked="1"/>
        <c:tickLblPos val="nextTo"/>
        <c:crossAx val="51419392"/>
        <c:crosses val="autoZero"/>
        <c:auto val="1"/>
        <c:lblAlgn val="ctr"/>
        <c:lblOffset val="100"/>
      </c:catAx>
      <c:valAx>
        <c:axId val="51419392"/>
        <c:scaling>
          <c:orientation val="minMax"/>
        </c:scaling>
        <c:axPos val="l"/>
        <c:majorGridlines/>
        <c:numFmt formatCode="General" sourceLinked="1"/>
        <c:tickLblPos val="nextTo"/>
        <c:crossAx val="51417856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 и спорта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порядкаобщественного порядка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axId val="82532608"/>
        <c:axId val="81068032"/>
      </c:barChart>
      <c:catAx>
        <c:axId val="82532608"/>
        <c:scaling>
          <c:orientation val="minMax"/>
        </c:scaling>
        <c:delete val="1"/>
        <c:axPos val="b"/>
        <c:numFmt formatCode="General" sourceLinked="1"/>
        <c:tickLblPos val="nextTo"/>
        <c:crossAx val="81068032"/>
        <c:crosses val="autoZero"/>
        <c:auto val="1"/>
        <c:lblAlgn val="ctr"/>
        <c:lblOffset val="100"/>
      </c:catAx>
      <c:valAx>
        <c:axId val="81068032"/>
        <c:scaling>
          <c:orientation val="minMax"/>
        </c:scaling>
        <c:axPos val="l"/>
        <c:majorGridlines/>
        <c:numFmt formatCode="General" sourceLinked="1"/>
        <c:tickLblPos val="nextTo"/>
        <c:crossAx val="8253260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329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1.9621049784236275E-2"/>
                  <c:y val="-6.22213362570189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3,2%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 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11</c:v>
                </c:pt>
                <c:pt idx="2">
                  <c:v>7</c:v>
                </c:pt>
                <c:pt idx="3">
                  <c:v>64</c:v>
                </c:pt>
                <c:pt idx="4">
                  <c:v>5</c:v>
                </c:pt>
              </c:numCache>
            </c:numRef>
          </c:val>
        </c:ser>
        <c:axId val="81114240"/>
        <c:axId val="81115776"/>
      </c:barChart>
      <c:catAx>
        <c:axId val="81114240"/>
        <c:scaling>
          <c:orientation val="minMax"/>
        </c:scaling>
        <c:axPos val="b"/>
        <c:tickLblPos val="nextTo"/>
        <c:crossAx val="81115776"/>
        <c:crosses val="autoZero"/>
        <c:auto val="1"/>
        <c:lblAlgn val="ctr"/>
        <c:lblOffset val="100"/>
      </c:catAx>
      <c:valAx>
        <c:axId val="81115776"/>
        <c:scaling>
          <c:orientation val="minMax"/>
        </c:scaling>
        <c:axPos val="l"/>
        <c:majorGridlines/>
        <c:numFmt formatCode="General" sourceLinked="1"/>
        <c:tickLblPos val="nextTo"/>
        <c:crossAx val="8111424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Вениаминовна</dc:creator>
  <cp:keywords/>
  <dc:description/>
  <cp:lastModifiedBy>ЧЕКРЫЖОВА Вера Валерьевна</cp:lastModifiedBy>
  <cp:revision>12</cp:revision>
  <cp:lastPrinted>2017-06-29T07:02:00Z</cp:lastPrinted>
  <dcterms:created xsi:type="dcterms:W3CDTF">2017-06-02T07:17:00Z</dcterms:created>
  <dcterms:modified xsi:type="dcterms:W3CDTF">2017-06-30T07:07:00Z</dcterms:modified>
</cp:coreProperties>
</file>