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2" w:rsidRPr="000F5FD2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D2">
        <w:rPr>
          <w:rFonts w:ascii="Times New Roman" w:hAnsi="Times New Roman" w:cs="Times New Roman"/>
          <w:b/>
          <w:sz w:val="24"/>
          <w:szCs w:val="24"/>
        </w:rPr>
        <w:t>Меры стимулирования добросовестного соблюдения обязательных требований при осуществлении муниципального лесного контроля</w:t>
      </w:r>
    </w:p>
    <w:p w:rsidR="000F5FD2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наличие внедренных сертифицированных систем внутреннего контроля в соответствующей сфере деятельности;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Критериями добросовестности контролируемого лица являются следующие параметры: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BD013A">
        <w:rPr>
          <w:sz w:val="23"/>
          <w:szCs w:val="23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отсутствие исковых заявлений о защите прав потребителей, удовлетворенных судебными органами;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наличие декларации соблюдения обязательных требований.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Соответствие контролируемого лица критериям добросовестности оценивается за три года.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Для поощрения и стимулирования добросовестных контролируемых лиц могут применяться следующие меры: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BD013A">
        <w:rPr>
          <w:sz w:val="23"/>
          <w:szCs w:val="23"/>
        </w:rPr>
        <w:t>присуждение контролируемому лицу репутационного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«Интернет».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Срок действия репутационного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62004C" w:rsidRPr="00BD013A" w:rsidRDefault="000F5FD2" w:rsidP="00BD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Репутационный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sectPr w:rsidR="0062004C" w:rsidRPr="00BD013A" w:rsidSect="00BD013A">
      <w:pgSz w:w="11905" w:h="16838"/>
      <w:pgMar w:top="709" w:right="565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1F22"/>
    <w:multiLevelType w:val="hybridMultilevel"/>
    <w:tmpl w:val="3A924A3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287C"/>
    <w:multiLevelType w:val="hybridMultilevel"/>
    <w:tmpl w:val="D3ECC2F8"/>
    <w:lvl w:ilvl="0" w:tplc="251039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2D2BE3"/>
    <w:multiLevelType w:val="hybridMultilevel"/>
    <w:tmpl w:val="B0624A4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F5FD2"/>
    <w:rsid w:val="000F5FD2"/>
    <w:rsid w:val="0062004C"/>
    <w:rsid w:val="00BD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3</cp:revision>
  <dcterms:created xsi:type="dcterms:W3CDTF">2022-10-26T03:23:00Z</dcterms:created>
  <dcterms:modified xsi:type="dcterms:W3CDTF">2022-10-26T03:32:00Z</dcterms:modified>
</cp:coreProperties>
</file>