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7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C74A46">
        <w:rPr>
          <w:rFonts w:ascii="Times New Roman" w:hAnsi="Times New Roman" w:cs="Times New Roman"/>
          <w:b/>
          <w:sz w:val="28"/>
          <w:szCs w:val="28"/>
        </w:rPr>
        <w:t>2022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B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A4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887B2E">
        <w:rPr>
          <w:rFonts w:ascii="Times New Roman" w:hAnsi="Times New Roman" w:cs="Times New Roman"/>
          <w:sz w:val="28"/>
          <w:szCs w:val="28"/>
        </w:rPr>
        <w:t>7</w:t>
      </w:r>
      <w:r w:rsidR="00887B2E" w:rsidRPr="00887B2E">
        <w:rPr>
          <w:rFonts w:ascii="Times New Roman" w:hAnsi="Times New Roman" w:cs="Times New Roman"/>
          <w:sz w:val="28"/>
          <w:szCs w:val="28"/>
        </w:rPr>
        <w:t>8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C74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B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74A46">
        <w:rPr>
          <w:rFonts w:ascii="Times New Roman" w:hAnsi="Times New Roman" w:cs="Times New Roman"/>
          <w:sz w:val="28"/>
          <w:szCs w:val="28"/>
        </w:rPr>
        <w:t>2020-2022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C74A46" w:rsidTr="00885552">
        <w:trPr>
          <w:jc w:val="center"/>
        </w:trPr>
        <w:tc>
          <w:tcPr>
            <w:tcW w:w="3469" w:type="dxa"/>
          </w:tcPr>
          <w:p w:rsidR="00C74A46" w:rsidRPr="009A2965" w:rsidRDefault="00C74A46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C74A46" w:rsidRPr="001325CE" w:rsidRDefault="00C74A46" w:rsidP="00C7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4A46" w:rsidRPr="001325CE" w:rsidRDefault="00C74A46" w:rsidP="00C7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C74A46" w:rsidRPr="001325CE" w:rsidRDefault="00C74A46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74A46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C74A46" w:rsidRPr="005C29E3" w:rsidRDefault="00C74A46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74A46" w:rsidRPr="00887B2E" w:rsidRDefault="00887B2E" w:rsidP="00C74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A46" w:rsidRPr="00887B2E" w:rsidRDefault="00887B2E" w:rsidP="00C74A4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74A46" w:rsidRPr="00887B2E" w:rsidRDefault="00C74A46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7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887B2E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Четыре обращения</w:t>
      </w:r>
      <w:r w:rsidR="00903C6C">
        <w:rPr>
          <w:rFonts w:ascii="Times New Roman" w:hAnsi="Times New Roman" w:cs="Times New Roman"/>
          <w:sz w:val="27"/>
          <w:szCs w:val="27"/>
        </w:rPr>
        <w:t xml:space="preserve"> из общего числа поступивших в </w:t>
      </w:r>
      <w:r w:rsidR="00903C6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A4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03C6C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4C0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5,1</w:t>
      </w:r>
      <w:r w:rsidR="00903C6C">
        <w:rPr>
          <w:rFonts w:ascii="Times New Roman" w:hAnsi="Times New Roman" w:cs="Times New Roman"/>
          <w:sz w:val="27"/>
          <w:szCs w:val="27"/>
        </w:rPr>
        <w:t>%) были за</w:t>
      </w:r>
      <w:r>
        <w:rPr>
          <w:rFonts w:ascii="Times New Roman" w:hAnsi="Times New Roman" w:cs="Times New Roman"/>
          <w:sz w:val="27"/>
          <w:szCs w:val="27"/>
        </w:rPr>
        <w:t>регистрированы как коллективные</w:t>
      </w:r>
      <w:r w:rsidR="00903C6C">
        <w:rPr>
          <w:rFonts w:ascii="Times New Roman" w:hAnsi="Times New Roman" w:cs="Times New Roman"/>
          <w:sz w:val="27"/>
          <w:szCs w:val="27"/>
        </w:rPr>
        <w:t>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D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D87D65">
        <w:rPr>
          <w:rFonts w:ascii="Times New Roman" w:hAnsi="Times New Roman" w:cs="Times New Roman"/>
          <w:sz w:val="28"/>
          <w:szCs w:val="28"/>
        </w:rPr>
        <w:t>78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514932">
        <w:rPr>
          <w:rFonts w:ascii="Times New Roman" w:hAnsi="Times New Roman" w:cs="Times New Roman"/>
          <w:sz w:val="28"/>
          <w:szCs w:val="28"/>
        </w:rPr>
        <w:t>4 обращения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C74A4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74A46">
        <w:rPr>
          <w:rFonts w:ascii="Times New Roman" w:hAnsi="Times New Roman" w:cs="Times New Roman"/>
          <w:sz w:val="28"/>
          <w:szCs w:val="28"/>
        </w:rPr>
        <w:t xml:space="preserve"> (</w:t>
      </w:r>
      <w:r w:rsidR="00514932">
        <w:rPr>
          <w:rFonts w:ascii="Times New Roman" w:hAnsi="Times New Roman" w:cs="Times New Roman"/>
          <w:sz w:val="28"/>
          <w:szCs w:val="28"/>
        </w:rPr>
        <w:t>5,1</w:t>
      </w:r>
      <w:r w:rsidR="00A16933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514932" w:rsidRDefault="00514932" w:rsidP="0051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3 (3,8%) обращения поступило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A16933" w:rsidRPr="00D20EC7" w:rsidRDefault="00514932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C74A4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16933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D106CB">
        <w:rPr>
          <w:rFonts w:ascii="Times New Roman" w:hAnsi="Times New Roman" w:cs="Times New Roman"/>
          <w:sz w:val="28"/>
          <w:szCs w:val="28"/>
        </w:rPr>
        <w:t xml:space="preserve">по подведомственности из различных ведомств </w:t>
      </w:r>
      <w:r w:rsidR="00C74A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2,6</w:t>
      </w:r>
      <w:r w:rsidR="00D106CB">
        <w:rPr>
          <w:rFonts w:ascii="Times New Roman" w:hAnsi="Times New Roman" w:cs="Times New Roman"/>
          <w:sz w:val="28"/>
          <w:szCs w:val="28"/>
        </w:rPr>
        <w:t>%)</w:t>
      </w:r>
    </w:p>
    <w:p w:rsidR="00CA7D87" w:rsidRPr="00D20EC7" w:rsidRDefault="00CB1B70" w:rsidP="00A16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514932">
        <w:rPr>
          <w:rFonts w:ascii="Times New Roman" w:hAnsi="Times New Roman" w:cs="Times New Roman"/>
          <w:sz w:val="28"/>
          <w:szCs w:val="28"/>
        </w:rPr>
        <w:t>19</w:t>
      </w:r>
      <w:r w:rsidR="00C74A4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</w:t>
      </w:r>
      <w:r w:rsidR="00C74A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4932">
        <w:rPr>
          <w:rFonts w:ascii="Times New Roman" w:eastAsia="Times New Roman" w:hAnsi="Times New Roman" w:cs="Times New Roman"/>
          <w:sz w:val="28"/>
          <w:szCs w:val="28"/>
        </w:rPr>
        <w:t>24,4</w:t>
      </w:r>
      <w:r w:rsidR="00A1693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B70" w:rsidRDefault="00CB1B70" w:rsidP="00A1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514932">
        <w:rPr>
          <w:rFonts w:ascii="Times New Roman" w:hAnsi="Times New Roman" w:cs="Times New Roman"/>
          <w:sz w:val="28"/>
          <w:szCs w:val="28"/>
        </w:rPr>
        <w:t xml:space="preserve"> 50</w:t>
      </w:r>
      <w:r w:rsidR="00D106CB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>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>, а также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9297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C74A46">
        <w:rPr>
          <w:rFonts w:ascii="Times New Roman" w:hAnsi="Times New Roman" w:cs="Times New Roman"/>
          <w:sz w:val="28"/>
          <w:szCs w:val="28"/>
        </w:rPr>
        <w:t xml:space="preserve"> (</w:t>
      </w:r>
      <w:r w:rsidR="00514932">
        <w:rPr>
          <w:rFonts w:ascii="Times New Roman" w:hAnsi="Times New Roman" w:cs="Times New Roman"/>
          <w:sz w:val="28"/>
          <w:szCs w:val="28"/>
        </w:rPr>
        <w:t>64,1</w:t>
      </w:r>
      <w:r w:rsidR="00D106CB">
        <w:rPr>
          <w:rFonts w:ascii="Times New Roman" w:hAnsi="Times New Roman" w:cs="Times New Roman"/>
          <w:sz w:val="28"/>
          <w:szCs w:val="28"/>
        </w:rPr>
        <w:t>%)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3188" cy="3335247"/>
            <wp:effectExtent l="19050" t="0" r="20812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DC5CB2" w:rsidTr="00534525">
        <w:trPr>
          <w:trHeight w:val="847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804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DC5CB2" w:rsidRPr="0072554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C5CB2" w:rsidRPr="007A7578" w:rsidRDefault="00AE0594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AE0594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5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0B0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8B276D">
        <w:rPr>
          <w:rFonts w:ascii="Times New Roman" w:hAnsi="Times New Roman" w:cs="Times New Roman"/>
          <w:sz w:val="28"/>
          <w:szCs w:val="28"/>
        </w:rPr>
        <w:t xml:space="preserve"> </w:t>
      </w:r>
      <w:r w:rsidR="00137487" w:rsidRPr="00137487">
        <w:rPr>
          <w:rFonts w:ascii="Times New Roman" w:hAnsi="Times New Roman" w:cs="Times New Roman"/>
          <w:sz w:val="28"/>
          <w:szCs w:val="28"/>
        </w:rPr>
        <w:t>29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137487" w:rsidRPr="00137487">
        <w:rPr>
          <w:rFonts w:ascii="Times New Roman" w:hAnsi="Times New Roman" w:cs="Times New Roman"/>
          <w:sz w:val="28"/>
          <w:szCs w:val="28"/>
        </w:rPr>
        <w:t>37.2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E6518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487" w:rsidRPr="00137487">
        <w:rPr>
          <w:rFonts w:ascii="Times New Roman" w:hAnsi="Times New Roman" w:cs="Times New Roman"/>
          <w:sz w:val="28"/>
          <w:szCs w:val="28"/>
        </w:rPr>
        <w:t>33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137487">
        <w:rPr>
          <w:rFonts w:ascii="Times New Roman" w:hAnsi="Times New Roman" w:cs="Times New Roman"/>
          <w:sz w:val="28"/>
          <w:szCs w:val="28"/>
        </w:rPr>
        <w:t>42,</w:t>
      </w:r>
      <w:r w:rsidR="00137487" w:rsidRPr="00137487">
        <w:rPr>
          <w:rFonts w:ascii="Times New Roman" w:hAnsi="Times New Roman" w:cs="Times New Roman"/>
          <w:sz w:val="28"/>
          <w:szCs w:val="28"/>
        </w:rPr>
        <w:t>3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65188">
        <w:rPr>
          <w:rFonts w:ascii="Times New Roman" w:hAnsi="Times New Roman" w:cs="Times New Roman"/>
          <w:sz w:val="28"/>
          <w:szCs w:val="28"/>
        </w:rPr>
        <w:t>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137487" w:rsidRPr="00137487">
        <w:rPr>
          <w:rFonts w:ascii="Times New Roman" w:hAnsi="Times New Roman" w:cs="Times New Roman"/>
          <w:sz w:val="28"/>
          <w:szCs w:val="28"/>
        </w:rPr>
        <w:t>13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137487">
        <w:rPr>
          <w:rFonts w:ascii="Times New Roman" w:hAnsi="Times New Roman" w:cs="Times New Roman"/>
          <w:sz w:val="28"/>
          <w:szCs w:val="28"/>
        </w:rPr>
        <w:t>16,7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511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8B2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137487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139"/>
        <w:tblW w:w="9557" w:type="dxa"/>
        <w:tblLook w:val="04A0"/>
      </w:tblPr>
      <w:tblGrid>
        <w:gridCol w:w="6226"/>
        <w:gridCol w:w="1664"/>
        <w:gridCol w:w="1667"/>
      </w:tblGrid>
      <w:tr w:rsidR="000F5DCC" w:rsidTr="008B276D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8B276D">
        <w:trPr>
          <w:trHeight w:val="1512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137487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7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48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Pr="000855BA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48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F5DCC" w:rsidTr="008B276D">
        <w:trPr>
          <w:trHeight w:val="314"/>
        </w:trPr>
        <w:tc>
          <w:tcPr>
            <w:tcW w:w="6226" w:type="dxa"/>
          </w:tcPr>
          <w:p w:rsidR="000F5DCC" w:rsidRPr="000C1DFB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137487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4C3AA3" w:rsidRPr="0051133A" w:rsidRDefault="000F5DCC" w:rsidP="0051133A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898475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33A" w:rsidRPr="00D5360B" w:rsidRDefault="004C3AA3" w:rsidP="0051133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4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51133A">
        <w:rPr>
          <w:rFonts w:ascii="Times New Roman" w:hAnsi="Times New Roman" w:cs="Times New Roman"/>
          <w:sz w:val="28"/>
          <w:szCs w:val="28"/>
        </w:rPr>
        <w:t>2022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FC4127">
        <w:rPr>
          <w:rFonts w:ascii="Times New Roman" w:hAnsi="Times New Roman" w:cs="Times New Roman"/>
          <w:sz w:val="28"/>
          <w:szCs w:val="28"/>
        </w:rPr>
        <w:t>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925CF1">
        <w:rPr>
          <w:rFonts w:ascii="Times New Roman" w:hAnsi="Times New Roman" w:cs="Times New Roman"/>
          <w:sz w:val="28"/>
          <w:szCs w:val="28"/>
        </w:rPr>
        <w:t xml:space="preserve">. </w:t>
      </w:r>
      <w:r w:rsidR="0051133A">
        <w:rPr>
          <w:rFonts w:ascii="Times New Roman" w:hAnsi="Times New Roman" w:cs="Times New Roman"/>
          <w:color w:val="000000" w:themeColor="text1"/>
          <w:sz w:val="28"/>
          <w:szCs w:val="28"/>
        </w:rPr>
        <w:t>Четыр</w:t>
      </w:r>
      <w:r w:rsidR="00137487">
        <w:rPr>
          <w:rFonts w:ascii="Times New Roman" w:hAnsi="Times New Roman" w:cs="Times New Roman"/>
          <w:color w:val="000000" w:themeColor="text1"/>
          <w:sz w:val="28"/>
          <w:szCs w:val="28"/>
        </w:rPr>
        <w:t>надцать обращений</w:t>
      </w:r>
      <w:r w:rsidR="00511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r w:rsidR="00137487">
        <w:rPr>
          <w:rFonts w:ascii="Times New Roman" w:hAnsi="Times New Roman" w:cs="Times New Roman"/>
          <w:color w:val="000000" w:themeColor="text1"/>
          <w:sz w:val="28"/>
          <w:szCs w:val="28"/>
        </w:rPr>
        <w:t>лучено от председателей уличных комитетов</w:t>
      </w:r>
      <w:r w:rsidR="00511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ТОС.</w:t>
      </w:r>
    </w:p>
    <w:p w:rsidR="002B605A" w:rsidRDefault="0043708B" w:rsidP="00925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>
        <w:rPr>
          <w:rFonts w:ascii="Times New Roman" w:hAnsi="Times New Roman" w:cs="Times New Roman"/>
          <w:sz w:val="28"/>
          <w:szCs w:val="28"/>
        </w:rPr>
        <w:t xml:space="preserve"> 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4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2CA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925CF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3748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37487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10,3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2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  <w:r w:rsidR="00273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13748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37487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3,8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1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D0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7C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1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3748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02826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53,8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4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02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9253A8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D0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0282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3748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02826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525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5C0F69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парковки автотранспорта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закона о тишине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ривлечение к административной ответственности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3103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F096F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1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F096F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D028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3,1</w:t>
            </w: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3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5C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3103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132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3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3103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E2C9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310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кредиты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субсидии, льготы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F096F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F096F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1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66152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4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7895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DF096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E31030">
        <w:rPr>
          <w:rFonts w:ascii="Times New Roman" w:hAnsi="Times New Roman" w:cs="Times New Roman"/>
          <w:sz w:val="28"/>
          <w:szCs w:val="28"/>
        </w:rPr>
        <w:t>78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DF096F">
        <w:rPr>
          <w:rFonts w:ascii="Times New Roman" w:hAnsi="Times New Roman" w:cs="Times New Roman"/>
          <w:sz w:val="28"/>
          <w:szCs w:val="28"/>
        </w:rPr>
        <w:t>1</w:t>
      </w:r>
      <w:r w:rsidR="00E31030">
        <w:rPr>
          <w:rFonts w:ascii="Times New Roman" w:hAnsi="Times New Roman" w:cs="Times New Roman"/>
          <w:sz w:val="28"/>
          <w:szCs w:val="28"/>
        </w:rPr>
        <w:t>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1030">
        <w:rPr>
          <w:rFonts w:ascii="Times New Roman" w:hAnsi="Times New Roman" w:cs="Times New Roman"/>
          <w:color w:val="000000" w:themeColor="text1"/>
          <w:sz w:val="28"/>
          <w:szCs w:val="28"/>
        </w:rPr>
        <w:t>21,8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03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31030">
        <w:rPr>
          <w:rFonts w:ascii="Times New Roman" w:hAnsi="Times New Roman" w:cs="Times New Roman"/>
          <w:color w:val="000000" w:themeColor="text1"/>
          <w:sz w:val="28"/>
          <w:szCs w:val="28"/>
        </w:rPr>
        <w:t>25,4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E3103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31030">
        <w:rPr>
          <w:rFonts w:ascii="Times New Roman" w:hAnsi="Times New Roman" w:cs="Times New Roman"/>
          <w:color w:val="000000" w:themeColor="text1"/>
          <w:sz w:val="28"/>
          <w:szCs w:val="28"/>
        </w:rPr>
        <w:t>38,5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0D07">
        <w:rPr>
          <w:rFonts w:ascii="Times New Roman" w:hAnsi="Times New Roman" w:cs="Times New Roman"/>
          <w:sz w:val="28"/>
          <w:szCs w:val="28"/>
        </w:rPr>
        <w:t xml:space="preserve">на </w:t>
      </w:r>
      <w:r w:rsidR="00E31030">
        <w:rPr>
          <w:rFonts w:ascii="Times New Roman" w:hAnsi="Times New Roman" w:cs="Times New Roman"/>
          <w:sz w:val="28"/>
          <w:szCs w:val="28"/>
        </w:rPr>
        <w:t>9</w:t>
      </w:r>
      <w:r w:rsidR="00DF096F">
        <w:rPr>
          <w:rFonts w:ascii="Times New Roman" w:hAnsi="Times New Roman" w:cs="Times New Roman"/>
          <w:sz w:val="28"/>
          <w:szCs w:val="28"/>
        </w:rPr>
        <w:t xml:space="preserve"> </w:t>
      </w:r>
      <w:r w:rsidR="005E789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ответ дан на месте и </w:t>
      </w:r>
      <w:r w:rsidR="00E31030">
        <w:rPr>
          <w:rFonts w:ascii="Times New Roman" w:hAnsi="Times New Roman" w:cs="Times New Roman"/>
          <w:sz w:val="28"/>
          <w:szCs w:val="28"/>
        </w:rPr>
        <w:t>2 обращения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661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61529">
        <w:rPr>
          <w:rFonts w:ascii="Times New Roman" w:hAnsi="Times New Roman" w:cs="Times New Roman"/>
          <w:sz w:val="28"/>
          <w:szCs w:val="28"/>
        </w:rPr>
        <w:t xml:space="preserve">: </w:t>
      </w:r>
      <w:r w:rsidR="00E31030">
        <w:rPr>
          <w:rFonts w:ascii="Times New Roman" w:hAnsi="Times New Roman" w:cs="Times New Roman"/>
          <w:sz w:val="28"/>
          <w:szCs w:val="28"/>
        </w:rPr>
        <w:t>32</w:t>
      </w:r>
      <w:r w:rsidR="00661529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обра</w:t>
      </w:r>
      <w:r w:rsidR="00E31030">
        <w:rPr>
          <w:rFonts w:ascii="Times New Roman" w:hAnsi="Times New Roman" w:cs="Times New Roman"/>
          <w:sz w:val="28"/>
          <w:szCs w:val="28"/>
        </w:rPr>
        <w:t>щения</w:t>
      </w:r>
      <w:r w:rsidR="0005444B">
        <w:rPr>
          <w:rFonts w:ascii="Times New Roman" w:hAnsi="Times New Roman" w:cs="Times New Roman"/>
          <w:sz w:val="28"/>
          <w:szCs w:val="28"/>
        </w:rPr>
        <w:t xml:space="preserve"> поддержано</w:t>
      </w:r>
      <w:r w:rsidR="00470D07">
        <w:rPr>
          <w:rFonts w:ascii="Times New Roman" w:hAnsi="Times New Roman" w:cs="Times New Roman"/>
          <w:sz w:val="28"/>
          <w:szCs w:val="28"/>
        </w:rPr>
        <w:t xml:space="preserve"> (</w:t>
      </w:r>
      <w:r w:rsidR="00E31030">
        <w:rPr>
          <w:rFonts w:ascii="Times New Roman" w:hAnsi="Times New Roman" w:cs="Times New Roman"/>
          <w:sz w:val="28"/>
          <w:szCs w:val="28"/>
        </w:rPr>
        <w:t>42,1</w:t>
      </w:r>
      <w:r w:rsidR="00BA48BA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E31030">
        <w:rPr>
          <w:rFonts w:ascii="Times New Roman" w:hAnsi="Times New Roman" w:cs="Times New Roman"/>
          <w:sz w:val="28"/>
          <w:szCs w:val="28"/>
        </w:rPr>
        <w:t>7</w:t>
      </w:r>
      <w:r w:rsidR="00661529">
        <w:rPr>
          <w:rFonts w:ascii="Times New Roman" w:hAnsi="Times New Roman" w:cs="Times New Roman"/>
          <w:sz w:val="28"/>
          <w:szCs w:val="28"/>
        </w:rPr>
        <w:t xml:space="preserve"> – меры приняты, </w:t>
      </w:r>
      <w:r w:rsidR="00E31030">
        <w:rPr>
          <w:rFonts w:ascii="Times New Roman" w:hAnsi="Times New Roman" w:cs="Times New Roman"/>
          <w:sz w:val="28"/>
          <w:szCs w:val="28"/>
        </w:rPr>
        <w:t>2 (2,6%) обращения  не поддержано, 42</w:t>
      </w:r>
      <w:r w:rsidR="0005444B">
        <w:rPr>
          <w:rFonts w:ascii="Times New Roman" w:hAnsi="Times New Roman" w:cs="Times New Roman"/>
          <w:sz w:val="28"/>
          <w:szCs w:val="28"/>
        </w:rPr>
        <w:t xml:space="preserve"> (</w:t>
      </w:r>
      <w:r w:rsidR="002E10D0">
        <w:rPr>
          <w:rFonts w:ascii="Times New Roman" w:hAnsi="Times New Roman" w:cs="Times New Roman"/>
          <w:sz w:val="28"/>
          <w:szCs w:val="28"/>
        </w:rPr>
        <w:t>55,3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34525">
        <w:rPr>
          <w:rFonts w:ascii="Times New Roman" w:hAnsi="Times New Roman" w:cs="Times New Roman"/>
          <w:sz w:val="28"/>
          <w:szCs w:val="28"/>
        </w:rPr>
        <w:t xml:space="preserve"> </w:t>
      </w:r>
      <w:r w:rsidR="00470D07">
        <w:rPr>
          <w:rFonts w:ascii="Times New Roman" w:hAnsi="Times New Roman" w:cs="Times New Roman"/>
          <w:sz w:val="28"/>
          <w:szCs w:val="28"/>
        </w:rPr>
        <w:t>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661529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4152" w:rsidRDefault="006F4152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6F4152" w:rsidRDefault="006F4152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DCC" w:rsidRDefault="00245BCD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2E10D0">
        <w:rPr>
          <w:rFonts w:ascii="Times New Roman" w:hAnsi="Times New Roman" w:cs="Times New Roman"/>
          <w:sz w:val="28"/>
          <w:szCs w:val="28"/>
        </w:rPr>
        <w:t>01</w:t>
      </w:r>
      <w:r w:rsidR="006A6D3C">
        <w:rPr>
          <w:rFonts w:ascii="Times New Roman" w:hAnsi="Times New Roman" w:cs="Times New Roman"/>
          <w:sz w:val="28"/>
          <w:szCs w:val="28"/>
        </w:rPr>
        <w:t>.202</w:t>
      </w:r>
      <w:r w:rsidR="002E10D0">
        <w:rPr>
          <w:rFonts w:ascii="Times New Roman" w:hAnsi="Times New Roman" w:cs="Times New Roman"/>
          <w:sz w:val="28"/>
          <w:szCs w:val="28"/>
        </w:rPr>
        <w:t>3</w:t>
      </w:r>
    </w:p>
    <w:p w:rsidR="00661529" w:rsidRPr="00661529" w:rsidRDefault="00661529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Бабанина </w:t>
      </w:r>
      <w:r w:rsidR="006F4152">
        <w:rPr>
          <w:rFonts w:ascii="Times New Roman" w:hAnsi="Times New Roman" w:cs="Times New Roman"/>
        </w:rPr>
        <w:t>Юлия Владимировна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</w:t>
      </w:r>
      <w:r w:rsidR="006F4152">
        <w:rPr>
          <w:rFonts w:ascii="Times New Roman" w:hAnsi="Times New Roman" w:cs="Times New Roman"/>
        </w:rPr>
        <w:t>9</w:t>
      </w:r>
      <w:r w:rsidR="00661529">
        <w:rPr>
          <w:rFonts w:ascii="Times New Roman" w:hAnsi="Times New Roman" w:cs="Times New Roman"/>
        </w:rPr>
        <w:t>9</w:t>
      </w:r>
      <w:r w:rsidR="006F4152">
        <w:rPr>
          <w:rFonts w:ascii="Times New Roman" w:hAnsi="Times New Roman" w:cs="Times New Roman"/>
        </w:rPr>
        <w:t>-1</w:t>
      </w:r>
      <w:r w:rsidR="00661529">
        <w:rPr>
          <w:rFonts w:ascii="Times New Roman" w:hAnsi="Times New Roman" w:cs="Times New Roman"/>
        </w:rPr>
        <w:t>-68</w:t>
      </w:r>
    </w:p>
    <w:sectPr w:rsidR="00405198" w:rsidRPr="002770ED" w:rsidSect="00E71473">
      <w:footerReference w:type="default" r:id="rId15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F0" w:rsidRDefault="00D753F0" w:rsidP="00633D9C">
      <w:pPr>
        <w:spacing w:after="0" w:line="240" w:lineRule="auto"/>
      </w:pPr>
      <w:r>
        <w:separator/>
      </w:r>
    </w:p>
  </w:endnote>
  <w:endnote w:type="continuationSeparator" w:id="1">
    <w:p w:rsidR="00D753F0" w:rsidRDefault="00D753F0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06" w:rsidRDefault="00E10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F0" w:rsidRDefault="00D753F0" w:rsidP="00633D9C">
      <w:pPr>
        <w:spacing w:after="0" w:line="240" w:lineRule="auto"/>
      </w:pPr>
      <w:r>
        <w:separator/>
      </w:r>
    </w:p>
  </w:footnote>
  <w:footnote w:type="continuationSeparator" w:id="1">
    <w:p w:rsidR="00D753F0" w:rsidRDefault="00D753F0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1096"/>
    <w:rsid w:val="00017E78"/>
    <w:rsid w:val="000279AD"/>
    <w:rsid w:val="00033453"/>
    <w:rsid w:val="00040366"/>
    <w:rsid w:val="000427AC"/>
    <w:rsid w:val="00042A80"/>
    <w:rsid w:val="0004311C"/>
    <w:rsid w:val="0005169A"/>
    <w:rsid w:val="0005444B"/>
    <w:rsid w:val="00056B68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2C7B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37487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A3CCA"/>
    <w:rsid w:val="001A7896"/>
    <w:rsid w:val="001B0143"/>
    <w:rsid w:val="001B4356"/>
    <w:rsid w:val="001B50FA"/>
    <w:rsid w:val="001B6A49"/>
    <w:rsid w:val="001C001E"/>
    <w:rsid w:val="001C0D45"/>
    <w:rsid w:val="001C16F0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66AE"/>
    <w:rsid w:val="00200658"/>
    <w:rsid w:val="00200A2D"/>
    <w:rsid w:val="00205A85"/>
    <w:rsid w:val="00210F34"/>
    <w:rsid w:val="002110F2"/>
    <w:rsid w:val="002134F5"/>
    <w:rsid w:val="002277FE"/>
    <w:rsid w:val="00234A2E"/>
    <w:rsid w:val="00234AEF"/>
    <w:rsid w:val="00237107"/>
    <w:rsid w:val="00240ABE"/>
    <w:rsid w:val="00241819"/>
    <w:rsid w:val="0024364D"/>
    <w:rsid w:val="00245BCD"/>
    <w:rsid w:val="0025319E"/>
    <w:rsid w:val="0025778C"/>
    <w:rsid w:val="00265FCF"/>
    <w:rsid w:val="00266D60"/>
    <w:rsid w:val="0027175E"/>
    <w:rsid w:val="00272410"/>
    <w:rsid w:val="0027366E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10D0"/>
    <w:rsid w:val="002E2C98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40329E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70D07"/>
    <w:rsid w:val="00472B1F"/>
    <w:rsid w:val="00472C96"/>
    <w:rsid w:val="004808E6"/>
    <w:rsid w:val="00480C60"/>
    <w:rsid w:val="00490562"/>
    <w:rsid w:val="0049437C"/>
    <w:rsid w:val="00496DCA"/>
    <w:rsid w:val="004A00E3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D175A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1133A"/>
    <w:rsid w:val="00514932"/>
    <w:rsid w:val="00522586"/>
    <w:rsid w:val="005319FC"/>
    <w:rsid w:val="00534525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252"/>
    <w:rsid w:val="005A35D3"/>
    <w:rsid w:val="005B2CA5"/>
    <w:rsid w:val="005C08D9"/>
    <w:rsid w:val="005C0F69"/>
    <w:rsid w:val="005C1D59"/>
    <w:rsid w:val="005C28B5"/>
    <w:rsid w:val="005C29E3"/>
    <w:rsid w:val="005C5252"/>
    <w:rsid w:val="005D36A1"/>
    <w:rsid w:val="005D584D"/>
    <w:rsid w:val="005D6022"/>
    <w:rsid w:val="005E2CD7"/>
    <w:rsid w:val="005E7895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44620"/>
    <w:rsid w:val="006552F8"/>
    <w:rsid w:val="00661529"/>
    <w:rsid w:val="00664B94"/>
    <w:rsid w:val="006656ED"/>
    <w:rsid w:val="00670BD3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0FDA"/>
    <w:rsid w:val="006B31BF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6F4152"/>
    <w:rsid w:val="0070345F"/>
    <w:rsid w:val="00725548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973DD"/>
    <w:rsid w:val="007A0C03"/>
    <w:rsid w:val="007B1E33"/>
    <w:rsid w:val="007B2718"/>
    <w:rsid w:val="007B4E8B"/>
    <w:rsid w:val="007C6D91"/>
    <w:rsid w:val="007D2AEA"/>
    <w:rsid w:val="007D30D6"/>
    <w:rsid w:val="007E223C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3A1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87B2E"/>
    <w:rsid w:val="00892370"/>
    <w:rsid w:val="008942C7"/>
    <w:rsid w:val="00897A4F"/>
    <w:rsid w:val="008A0984"/>
    <w:rsid w:val="008A138C"/>
    <w:rsid w:val="008A6E6F"/>
    <w:rsid w:val="008B276D"/>
    <w:rsid w:val="008B5D42"/>
    <w:rsid w:val="008B7825"/>
    <w:rsid w:val="008C0A62"/>
    <w:rsid w:val="008C1DB8"/>
    <w:rsid w:val="008D0202"/>
    <w:rsid w:val="008D03C8"/>
    <w:rsid w:val="008D4ACD"/>
    <w:rsid w:val="008D545B"/>
    <w:rsid w:val="008E0D78"/>
    <w:rsid w:val="008E7C72"/>
    <w:rsid w:val="008F4619"/>
    <w:rsid w:val="008F4A0A"/>
    <w:rsid w:val="008F7298"/>
    <w:rsid w:val="009028D7"/>
    <w:rsid w:val="00903C6C"/>
    <w:rsid w:val="00904020"/>
    <w:rsid w:val="009078AD"/>
    <w:rsid w:val="00914113"/>
    <w:rsid w:val="00921C24"/>
    <w:rsid w:val="00923AC3"/>
    <w:rsid w:val="009253A8"/>
    <w:rsid w:val="00925CF1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978F5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16933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A6A26"/>
    <w:rsid w:val="00AB0D46"/>
    <w:rsid w:val="00AB6AEB"/>
    <w:rsid w:val="00AC11D6"/>
    <w:rsid w:val="00AC2C4C"/>
    <w:rsid w:val="00AC3B08"/>
    <w:rsid w:val="00AD41B9"/>
    <w:rsid w:val="00AD677E"/>
    <w:rsid w:val="00AE0594"/>
    <w:rsid w:val="00AE3BF5"/>
    <w:rsid w:val="00AF5E19"/>
    <w:rsid w:val="00AF6BCE"/>
    <w:rsid w:val="00AF7D8B"/>
    <w:rsid w:val="00B0026D"/>
    <w:rsid w:val="00B058BB"/>
    <w:rsid w:val="00B10412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87AFE"/>
    <w:rsid w:val="00B9330F"/>
    <w:rsid w:val="00B94D38"/>
    <w:rsid w:val="00B96D3F"/>
    <w:rsid w:val="00BA2664"/>
    <w:rsid w:val="00BA48BA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0486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4A46"/>
    <w:rsid w:val="00C7624B"/>
    <w:rsid w:val="00C77574"/>
    <w:rsid w:val="00C84D7E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B6938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02826"/>
    <w:rsid w:val="00D02D76"/>
    <w:rsid w:val="00D106CB"/>
    <w:rsid w:val="00D1488B"/>
    <w:rsid w:val="00D20EC7"/>
    <w:rsid w:val="00D2159C"/>
    <w:rsid w:val="00D225DC"/>
    <w:rsid w:val="00D2348F"/>
    <w:rsid w:val="00D24CED"/>
    <w:rsid w:val="00D30D4F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072D"/>
    <w:rsid w:val="00D728CF"/>
    <w:rsid w:val="00D753F0"/>
    <w:rsid w:val="00D8034F"/>
    <w:rsid w:val="00D8185C"/>
    <w:rsid w:val="00D82241"/>
    <w:rsid w:val="00D8315A"/>
    <w:rsid w:val="00D86721"/>
    <w:rsid w:val="00D86EAD"/>
    <w:rsid w:val="00D87D65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C5CB2"/>
    <w:rsid w:val="00DE27A8"/>
    <w:rsid w:val="00DE5714"/>
    <w:rsid w:val="00DE6A20"/>
    <w:rsid w:val="00DE7A4E"/>
    <w:rsid w:val="00DF096F"/>
    <w:rsid w:val="00DF13E2"/>
    <w:rsid w:val="00DF26DD"/>
    <w:rsid w:val="00DF288A"/>
    <w:rsid w:val="00DF3523"/>
    <w:rsid w:val="00DF72CF"/>
    <w:rsid w:val="00E00FE8"/>
    <w:rsid w:val="00E02FDC"/>
    <w:rsid w:val="00E06DD1"/>
    <w:rsid w:val="00E10B06"/>
    <w:rsid w:val="00E11966"/>
    <w:rsid w:val="00E13C7B"/>
    <w:rsid w:val="00E16813"/>
    <w:rsid w:val="00E23C29"/>
    <w:rsid w:val="00E31030"/>
    <w:rsid w:val="00E328C8"/>
    <w:rsid w:val="00E347CD"/>
    <w:rsid w:val="00E356D2"/>
    <w:rsid w:val="00E40452"/>
    <w:rsid w:val="00E4315E"/>
    <w:rsid w:val="00E47540"/>
    <w:rsid w:val="00E53533"/>
    <w:rsid w:val="00E56B0B"/>
    <w:rsid w:val="00E6276A"/>
    <w:rsid w:val="00E63A3F"/>
    <w:rsid w:val="00E65188"/>
    <w:rsid w:val="00E71473"/>
    <w:rsid w:val="00E71AED"/>
    <w:rsid w:val="00E73F77"/>
    <w:rsid w:val="00E75517"/>
    <w:rsid w:val="00E76D26"/>
    <w:rsid w:val="00E868F5"/>
    <w:rsid w:val="00E87857"/>
    <w:rsid w:val="00E935F0"/>
    <w:rsid w:val="00E94BB7"/>
    <w:rsid w:val="00EA3C52"/>
    <w:rsid w:val="00EA439F"/>
    <w:rsid w:val="00EA50C6"/>
    <w:rsid w:val="00EB0183"/>
    <w:rsid w:val="00EB1167"/>
    <w:rsid w:val="00EB3444"/>
    <w:rsid w:val="00EC1728"/>
    <w:rsid w:val="00EC2215"/>
    <w:rsid w:val="00EC2E1B"/>
    <w:rsid w:val="00EC6249"/>
    <w:rsid w:val="00ED38B8"/>
    <w:rsid w:val="00ED3CA7"/>
    <w:rsid w:val="00ED5CF3"/>
    <w:rsid w:val="00ED66DE"/>
    <w:rsid w:val="00EE115F"/>
    <w:rsid w:val="00EE13C5"/>
    <w:rsid w:val="00EE2AF6"/>
    <w:rsid w:val="00EE50EB"/>
    <w:rsid w:val="00EE5FE1"/>
    <w:rsid w:val="00EF2B82"/>
    <w:rsid w:val="00EF30D0"/>
    <w:rsid w:val="00EF414F"/>
    <w:rsid w:val="00EF6E56"/>
    <w:rsid w:val="00F01812"/>
    <w:rsid w:val="00F024C0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127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2020-2022гг.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91</c:v>
                </c:pt>
                <c:pt idx="2">
                  <c:v>78</c:v>
                </c:pt>
              </c:numCache>
            </c:numRef>
          </c:val>
        </c:ser>
        <c:shape val="cylinder"/>
        <c:axId val="94626944"/>
        <c:axId val="96347648"/>
        <c:axId val="0"/>
      </c:bar3DChart>
      <c:catAx>
        <c:axId val="94626944"/>
        <c:scaling>
          <c:orientation val="minMax"/>
        </c:scaling>
        <c:axPos val="b"/>
        <c:tickLblPos val="nextTo"/>
        <c:crossAx val="96347648"/>
        <c:crosses val="autoZero"/>
        <c:auto val="1"/>
        <c:lblAlgn val="ctr"/>
        <c:lblOffset val="100"/>
      </c:catAx>
      <c:valAx>
        <c:axId val="96347648"/>
        <c:scaling>
          <c:orientation val="minMax"/>
        </c:scaling>
        <c:axPos val="l"/>
        <c:majorGridlines/>
        <c:numFmt formatCode="General" sourceLinked="1"/>
        <c:tickLblPos val="nextTo"/>
        <c:crossAx val="946269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00B050"/>
              </a:solidFill>
            </c:spPr>
          </c:dPt>
          <c:dPt>
            <c:idx val="1"/>
            <c:explosion val="31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5,1%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94,9%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5.1000000000000004E-2</c:v>
                </c:pt>
                <c:pt idx="1">
                  <c:v>0.94899999999999995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7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Pt>
            <c:idx val="4"/>
            <c:explosion val="0"/>
          </c:dPt>
          <c:dLbls>
            <c:dLbl>
              <c:idx val="0"/>
              <c:layout>
                <c:manualLayout>
                  <c:x val="1.673778529952263E-2"/>
                  <c:y val="-4.8441389798116893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5,1</a:t>
                    </a:r>
                    <a:r>
                      <a:rPr lang="en-US" sz="1100"/>
                      <a:t>%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-2.0381172283006028E-2"/>
                  <c:y val="1.5830911473722935E-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3,8%</a:t>
                    </a:r>
                    <a:endParaRPr lang="en-US" sz="1100"/>
                  </a:p>
                </c:rich>
              </c:tx>
              <c:showPercent val="1"/>
            </c:dLbl>
            <c:dLbl>
              <c:idx val="2"/>
              <c:layout>
                <c:manualLayout>
                  <c:x val="1.523875289396163E-2"/>
                  <c:y val="-1.371549900292062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24,4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6.61410209536855E-2"/>
                  <c:y val="-7.250202377498968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64,1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1.0280268644738343E-2"/>
                  <c:y val="1.9039069670102398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2,6</a:t>
                    </a:r>
                    <a:r>
                      <a:rPr lang="en-US" sz="1100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2345741473377383E-2"/>
                  <c:y val="1.070290980936048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Приемная  Президента Российской Федерации</c:v>
                </c:pt>
                <c:pt idx="1">
                  <c:v>Администрация Губернатора и Правительства АК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  <c:pt idx="4">
                  <c:v>Иные учреждения и ведоства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5.1000000000000004E-2</c:v>
                </c:pt>
                <c:pt idx="1">
                  <c:v>3.7999999999999999E-2</c:v>
                </c:pt>
                <c:pt idx="2">
                  <c:v>0.24400000000000002</c:v>
                </c:pt>
                <c:pt idx="3">
                  <c:v>0.64100000000000013</c:v>
                </c:pt>
                <c:pt idx="4">
                  <c:v>2.5999999999999999E-2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8165"/>
          <c:h val="0.401070711749279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6002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Заместитель главы администрации по социальным вопросам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30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9.1314428955747758E-3"/>
                  <c:y val="-6.1406550894365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dLbls>
            <c:dLbl>
              <c:idx val="0"/>
              <c:layout>
                <c:manualLayout>
                  <c:x val="8.9037658898481753E-3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8.9037658898481649E-3"/>
                  <c:y val="-4.60549131707743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9.1314428955748227E-3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dLbls>
            <c:dLbl>
              <c:idx val="0"/>
              <c:layout>
                <c:manualLayout>
                  <c:x val="1.1281492032794599E-2"/>
                  <c:y val="-4.60561219611464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30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227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581E-2"/>
                  <c:y val="-7.7120825729538325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7505557405534E-3"/>
                  <c:y val="-9.23999360308135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5564883477222E-2"/>
                  <c:y val="-6.1406550894365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2480170279264565E-2"/>
                  <c:y val="-5.22390847136008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114311552"/>
        <c:axId val="114371968"/>
        <c:axId val="0"/>
      </c:bar3DChart>
      <c:catAx>
        <c:axId val="114311552"/>
        <c:scaling>
          <c:orientation val="minMax"/>
        </c:scaling>
        <c:axPos val="b"/>
        <c:numFmt formatCode="General" sourceLinked="1"/>
        <c:majorTickMark val="none"/>
        <c:tickLblPos val="nextTo"/>
        <c:crossAx val="114371968"/>
        <c:crosses val="autoZero"/>
        <c:auto val="1"/>
        <c:lblAlgn val="ctr"/>
        <c:lblOffset val="100"/>
      </c:catAx>
      <c:valAx>
        <c:axId val="1143719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4311552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401E-2"/>
          <c:y val="0.35782645922090706"/>
          <c:w val="0.80153944008983691"/>
          <c:h val="0.6356720324468349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251293126102267E-2"/>
          <c:y val="0.41318727951767825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5486713993751546E-2"/>
                  <c:y val="-4.4204589323742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42,3%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16,7%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224E-2"/>
                  <c:y val="-1.04186265541719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7316252440530493E-2"/>
          <c:y val="7.2334589741157002E-2"/>
          <c:w val="0.97089749780460799"/>
          <c:h val="0.227766670404264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i="1">
                <a:solidFill>
                  <a:schemeClr val="accent2"/>
                </a:solidFill>
              </a:defRPr>
            </a:pPr>
            <a:r>
              <a:rPr lang="ru-RU" i="1">
                <a:solidFill>
                  <a:schemeClr val="accent2"/>
                </a:solidFill>
              </a:rPr>
              <a:t>Анализ обращений по тематике</a:t>
            </a:r>
          </a:p>
        </c:rich>
      </c:tx>
    </c:title>
    <c:plotArea>
      <c:layout>
        <c:manualLayout>
          <c:layoutTarget val="inner"/>
          <c:xMode val="edge"/>
          <c:yMode val="edge"/>
          <c:x val="0.32486557314568193"/>
          <c:y val="0.17089971744712718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B156E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42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</c:ser>
        <c:overlap val="100"/>
        <c:axId val="124490880"/>
        <c:axId val="124493184"/>
      </c:barChart>
      <c:catAx>
        <c:axId val="124490880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4493184"/>
        <c:crosses val="autoZero"/>
        <c:auto val="1"/>
        <c:lblAlgn val="ctr"/>
        <c:lblOffset val="100"/>
      </c:catAx>
      <c:valAx>
        <c:axId val="124493184"/>
        <c:scaling>
          <c:orientation val="minMax"/>
        </c:scaling>
        <c:axPos val="b"/>
        <c:majorGridlines/>
        <c:numFmt formatCode="General" sourceLinked="1"/>
        <c:tickLblPos val="nextTo"/>
        <c:crossAx val="1244908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rgbClr val="92D050"/>
              </a:solidFill>
            </c:spPr>
          </c:dPt>
          <c:dPt>
            <c:idx val="2"/>
            <c:explosion val="2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5.9188670910479153E-3"/>
                  <c:y val="9.4176940337446266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42,1%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2,6%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55,3%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325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2</c:v>
                </c:pt>
                <c:pt idx="2">
                  <c:v>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925364129243316"/>
          <c:y val="0.21233994794725491"/>
          <c:w val="0.22040940350616126"/>
          <c:h val="0.40693251471539066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</c:ser>
        <c:axId val="134433792"/>
        <c:axId val="134696320"/>
      </c:barChart>
      <c:catAx>
        <c:axId val="134433792"/>
        <c:scaling>
          <c:orientation val="minMax"/>
        </c:scaling>
        <c:axPos val="b"/>
        <c:tickLblPos val="nextTo"/>
        <c:crossAx val="134696320"/>
        <c:crosses val="autoZero"/>
        <c:auto val="1"/>
        <c:lblAlgn val="ctr"/>
        <c:lblOffset val="100"/>
      </c:catAx>
      <c:valAx>
        <c:axId val="134696320"/>
        <c:scaling>
          <c:orientation val="minMax"/>
        </c:scaling>
        <c:axPos val="l"/>
        <c:majorGridlines/>
        <c:numFmt formatCode="General" sourceLinked="1"/>
        <c:tickLblPos val="nextTo"/>
        <c:crossAx val="1344337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8ED0-CB1C-4CB1-9DD6-A3685F7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10684</TotalTime>
  <Pages>8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242</cp:revision>
  <cp:lastPrinted>2023-03-22T09:05:00Z</cp:lastPrinted>
  <dcterms:created xsi:type="dcterms:W3CDTF">2015-12-04T02:58:00Z</dcterms:created>
  <dcterms:modified xsi:type="dcterms:W3CDTF">2023-03-22T09:42:00Z</dcterms:modified>
</cp:coreProperties>
</file>